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Solicitar, reiteradamente, ao setor responsável da Administração Pública a revitalização da pintura de sinalização horizontal das faixas de pedestres e pintura de meio-fio em toda a extensão do bairro Cidade Jardim.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reivindicação dos moradores, esta solicitação se faz necessária pelo fato de que as poucas sinalizações de trânsito existentes no referido bairro encontram-se com as pinturas apagadas, sendo necessário sua revitalização para evitar futuros acidentes, uma vez que é comum os veículos trafegarem em alta velocidade, trazendo riscos aos pedestres, bem como a crianças e idosos.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