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16DE8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</w:t>
      </w:r>
      <w:r w:rsidR="00103181">
        <w:rPr>
          <w:b/>
          <w:color w:val="000000"/>
        </w:rPr>
        <w:t>17</w:t>
      </w:r>
      <w:r>
        <w:rPr>
          <w:b/>
          <w:color w:val="000000"/>
        </w:rPr>
        <w:t xml:space="preserve"> / </w:t>
      </w:r>
      <w:r w:rsidR="00103181">
        <w:rPr>
          <w:b/>
          <w:color w:val="000000"/>
        </w:rPr>
        <w:t>2021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516DE8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ACRESCENTA O INCISO IX AO § 2º DO ARTIGO 60 E O ARTIGO 71-E À RESOLUÇÃO Nº 1.172, DE 2012, QUE DISPÕE SOBRE O REGIMENTO INTERNO DA CÂMARA MUNICIPAL DE POUSO ALEGRE-MG, CRIANDO E REGULAMENTANDO A COMISSÃO PERMANENTE </w:t>
      </w:r>
      <w:r>
        <w:rPr>
          <w:b/>
        </w:rPr>
        <w:t>DE DEFESA DOS DIREITOS DA CRIANÇA E DO ADOLESCENTE</w:t>
      </w:r>
    </w:p>
    <w:p w:rsidR="00C94212" w:rsidRPr="008A77ED" w:rsidRDefault="00C94212" w:rsidP="00ED4C81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880710" w:rsidRDefault="00880710" w:rsidP="00ED4C81">
      <w:pPr>
        <w:ind w:right="-1"/>
        <w:jc w:val="both"/>
      </w:pPr>
    </w:p>
    <w:p w:rsidR="00C94212" w:rsidRDefault="00516DE8" w:rsidP="00ED4C81">
      <w:pPr>
        <w:ind w:right="-1"/>
        <w:jc w:val="both"/>
      </w:pPr>
      <w:r>
        <w:t>A</w:t>
      </w:r>
      <w:r w:rsidR="008A77ED">
        <w:t xml:space="preserve"> </w:t>
      </w:r>
      <w:r w:rsidR="00AB5ADD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ED4C81">
      <w:pPr>
        <w:ind w:right="-1" w:firstLine="2835"/>
        <w:jc w:val="both"/>
        <w:rPr>
          <w:b/>
          <w:color w:val="000000"/>
        </w:rPr>
      </w:pPr>
    </w:p>
    <w:p w:rsidR="00C9421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Acrescenta o inciso IX ao § 2º do artigo 6</w:t>
      </w:r>
      <w:r>
        <w:rPr>
          <w:rFonts w:ascii="Times New Roman" w:eastAsia="Times New Roman" w:hAnsi="Times New Roman"/>
          <w:color w:val="000000"/>
        </w:rPr>
        <w:t>0 da Resolução nº 1.172, de 2012, com a seguinte redação: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60. (...)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§2º (...)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– Defesa dos Direitos da Criança e do Adolescente”.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Acrescenta o artigo 71-E na Resolução nº 1.172, de 2012, que vigorará com a seguinte redação: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</w:t>
      </w:r>
      <w:r>
        <w:rPr>
          <w:rFonts w:ascii="Times New Roman" w:eastAsia="Times New Roman" w:hAnsi="Times New Roman"/>
          <w:color w:val="000000"/>
        </w:rPr>
        <w:t>71-E. Compete à Comissão de Defesa dos Direitos da Criança e do Adolescente, no exercício de sua competência: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Tratar sobre matérias relativas à criança e ao adolescente;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Defender as prerrogativas asseguradas na Lei Federal nº 8.069, de 13 de jul</w:t>
      </w:r>
      <w:r>
        <w:rPr>
          <w:rFonts w:ascii="Times New Roman" w:eastAsia="Times New Roman" w:hAnsi="Times New Roman"/>
          <w:color w:val="000000"/>
        </w:rPr>
        <w:t>ho de 1990, Estatuto da Criança e do Adolescente;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Denunciar, encaminhar e acompanhar através dos procedimentos legais e necessários todas as formas de violência, exploração, abuso, maus tratos e quaisquer atos que por ação ou omissão, possam colocar</w:t>
      </w:r>
      <w:r>
        <w:rPr>
          <w:rFonts w:ascii="Times New Roman" w:eastAsia="Times New Roman" w:hAnsi="Times New Roman"/>
          <w:color w:val="000000"/>
        </w:rPr>
        <w:t xml:space="preserve"> em risco o desenvolvimento físico, mental, psicológico e social da criança e do adolescente;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Estabelecer políticas públicas que visem a prevenção, a defesa e a assistência social, especialmente, no que diz respeito à dignidade, à vida, à saúde, a al</w:t>
      </w:r>
      <w:r>
        <w:rPr>
          <w:rFonts w:ascii="Times New Roman" w:eastAsia="Times New Roman" w:hAnsi="Times New Roman"/>
          <w:color w:val="000000"/>
        </w:rPr>
        <w:t>imentação, a educação, à cultura, ao esporte, ao lazer, à liberdade, à segurança, a habitação e saneamento básico, ao trabalho, ao transporte e à integração comunitária;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 - Promover palestras, seminários, conferências, debates, datas comemorativas e </w:t>
      </w:r>
      <w:r>
        <w:rPr>
          <w:rFonts w:ascii="Times New Roman" w:eastAsia="Times New Roman" w:hAnsi="Times New Roman"/>
          <w:color w:val="000000"/>
        </w:rPr>
        <w:t>campanhas educativas, com a finalidade de discutir e encontrar soluções para os problemas da criança e do adolescente.”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3º Observado o artigo 59 e demais disposições pertinentes da Resolução nº 1.172, de 2012, os membros da Comissão de Defesa dos Dir</w:t>
      </w:r>
      <w:r>
        <w:rPr>
          <w:rFonts w:ascii="Times New Roman" w:eastAsia="Times New Roman" w:hAnsi="Times New Roman"/>
          <w:color w:val="000000"/>
        </w:rPr>
        <w:t>eitos da Criança e do Adolescente serão designados pelo Presidente da Câmara.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Após a primeira composição da Comissão aludida no caput, será obedecido o disposto no artigo 61 da Resolução nº 1.172, de 2012.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4º Revogam-se as disposiçõ</w:t>
      </w:r>
      <w:r>
        <w:rPr>
          <w:rFonts w:ascii="Times New Roman" w:eastAsia="Times New Roman" w:hAnsi="Times New Roman"/>
          <w:color w:val="000000"/>
        </w:rPr>
        <w:t>es em contrário.</w:t>
      </w:r>
    </w:p>
    <w:p w:rsidR="000F1832" w:rsidRDefault="000F1832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5º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A101D" w:rsidRDefault="00516DE8" w:rsidP="00BA101D">
      <w:pPr>
        <w:jc w:val="center"/>
        <w:rPr>
          <w:color w:val="000000"/>
        </w:rPr>
      </w:pPr>
      <w:r>
        <w:rPr>
          <w:color w:val="000000"/>
        </w:rPr>
        <w:t>Sala das Sessões, em 7 de abril de 2021.</w:t>
      </w:r>
    </w:p>
    <w:p w:rsidR="00BA101D" w:rsidRDefault="00BA101D" w:rsidP="00BA101D">
      <w:pPr>
        <w:rPr>
          <w:color w:val="000000"/>
        </w:rPr>
      </w:pPr>
    </w:p>
    <w:p w:rsidR="00ED4C81" w:rsidRDefault="00ED4C81" w:rsidP="00ED4C81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D4C81" w:rsidTr="00ED4C81">
        <w:tc>
          <w:tcPr>
            <w:tcW w:w="10205" w:type="dxa"/>
            <w:hideMark/>
          </w:tcPr>
          <w:p w:rsidR="00ED4C81" w:rsidRDefault="00ED4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ED4C81" w:rsidTr="00ED4C81">
        <w:tc>
          <w:tcPr>
            <w:tcW w:w="10205" w:type="dxa"/>
            <w:hideMark/>
          </w:tcPr>
          <w:p w:rsidR="00ED4C81" w:rsidRDefault="00ED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D4C81" w:rsidRDefault="00ED4C81" w:rsidP="00ED4C81">
      <w:pPr>
        <w:jc w:val="center"/>
        <w:rPr>
          <w:color w:val="000000"/>
        </w:rPr>
      </w:pPr>
    </w:p>
    <w:p w:rsidR="00ED4C81" w:rsidRDefault="00ED4C81" w:rsidP="00ED4C8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D4C81" w:rsidTr="00ED4C81">
        <w:tc>
          <w:tcPr>
            <w:tcW w:w="5172" w:type="dxa"/>
            <w:hideMark/>
          </w:tcPr>
          <w:p w:rsidR="00ED4C81" w:rsidRDefault="00ED4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  <w:tc>
          <w:tcPr>
            <w:tcW w:w="5173" w:type="dxa"/>
            <w:hideMark/>
          </w:tcPr>
          <w:p w:rsidR="00ED4C81" w:rsidRDefault="00ED4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ED4C81" w:rsidTr="00ED4C81">
        <w:tc>
          <w:tcPr>
            <w:tcW w:w="5172" w:type="dxa"/>
            <w:hideMark/>
          </w:tcPr>
          <w:p w:rsidR="00ED4C81" w:rsidRDefault="00ED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ED4C81" w:rsidRDefault="00ED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D4C81" w:rsidRDefault="00ED4C81" w:rsidP="00ED4C81">
      <w:pPr>
        <w:rPr>
          <w:color w:val="000000"/>
        </w:rPr>
      </w:pPr>
    </w:p>
    <w:p w:rsidR="00ED4C81" w:rsidRDefault="00ED4C81" w:rsidP="00ED4C8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D4C81" w:rsidTr="00ED4C81">
        <w:tc>
          <w:tcPr>
            <w:tcW w:w="5172" w:type="dxa"/>
            <w:hideMark/>
          </w:tcPr>
          <w:p w:rsidR="00ED4C81" w:rsidRDefault="00ED4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  <w:tc>
          <w:tcPr>
            <w:tcW w:w="5173" w:type="dxa"/>
            <w:hideMark/>
          </w:tcPr>
          <w:p w:rsidR="00ED4C81" w:rsidRDefault="00ED4C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ED4C81" w:rsidTr="00ED4C81">
        <w:tc>
          <w:tcPr>
            <w:tcW w:w="5172" w:type="dxa"/>
            <w:hideMark/>
          </w:tcPr>
          <w:p w:rsidR="00ED4C81" w:rsidRDefault="00ED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ED4C81" w:rsidRDefault="00ED4C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D4C81" w:rsidRDefault="00ED4C81" w:rsidP="00ED4C81">
      <w:pPr>
        <w:rPr>
          <w:color w:val="000000"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ED4C81">
      <w:pPr>
        <w:spacing w:after="200" w:line="276" w:lineRule="auto"/>
        <w:rPr>
          <w:b/>
        </w:rPr>
      </w:pPr>
    </w:p>
    <w:p w:rsidR="00ED4C81" w:rsidRDefault="00ED4C81" w:rsidP="0029224A">
      <w:pPr>
        <w:jc w:val="center"/>
        <w:rPr>
          <w:b/>
        </w:rPr>
      </w:pPr>
    </w:p>
    <w:p w:rsidR="00C94212" w:rsidRDefault="00516DE8" w:rsidP="0029224A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JUSTIFICATIVA</w:t>
      </w:r>
    </w:p>
    <w:p w:rsidR="00C94212" w:rsidRPr="008A77ED" w:rsidRDefault="00C94212" w:rsidP="00ED4C81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516DE8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Resolução visa acrescentar a Comissão Permanente de Defesa dos Direitos da Criança e do Adolescente no Regimento Interno desta Casa de Leis, a fim de </w:t>
      </w:r>
      <w:r>
        <w:rPr>
          <w:rFonts w:ascii="Times New Roman" w:hAnsi="Times New Roman" w:cs="Times New Roman"/>
        </w:rPr>
        <w:t>enfatizar as matérias relativas à criança e ao adolescente; promover a defesa das prerrogativas do Estatuto da Criança e do Adolescente; denunciar, encaminhar e acompanhar através dos procedimentos legais e necessários todas as formas de violência; estabel</w:t>
      </w:r>
      <w:r>
        <w:rPr>
          <w:rFonts w:ascii="Times New Roman" w:hAnsi="Times New Roman" w:cs="Times New Roman"/>
        </w:rPr>
        <w:t>ecer políticas públicas que visem a prevenção, a defesa e a assistência social e promover encontros para buscar soluções para os problemas da criança e do adolescente.</w:t>
      </w:r>
    </w:p>
    <w:p w:rsidR="000F1832" w:rsidRDefault="000F1832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inclusão desta Comissão Permanente é necessária dada a importância da matéria, sendo </w:t>
      </w:r>
      <w:r>
        <w:rPr>
          <w:rFonts w:ascii="Times New Roman" w:hAnsi="Times New Roman" w:cs="Times New Roman"/>
        </w:rPr>
        <w:t>mais um instrumento legislativo para fortalecer a garantia e proteção de seus direitos fundamentais trazidos no bojo da Constituição Federal e detalhados pela Lei Federal 8.069, de 13 de Julho de 1990 – Estatuto da Criança e do Adolescente, que constitui o</w:t>
      </w:r>
      <w:r>
        <w:rPr>
          <w:rFonts w:ascii="Times New Roman" w:hAnsi="Times New Roman" w:cs="Times New Roman"/>
        </w:rPr>
        <w:t>brigação permanente e prioritária da família, da sociedade e do Estado.</w:t>
      </w:r>
    </w:p>
    <w:p w:rsidR="000F1832" w:rsidRDefault="000F1832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sentido, a Comissão Permanente de Defesa dos Direitos da Criança e do Adolescente visa criar uma rede de atenção especializada que desenvolve suas funções por meio de programas </w:t>
      </w:r>
      <w:r>
        <w:rPr>
          <w:rFonts w:ascii="Times New Roman" w:hAnsi="Times New Roman" w:cs="Times New Roman"/>
        </w:rPr>
        <w:t>e projetos que possibilitem o desenvolvimento seguro, saudável e digno de crianças e adolescentes, bem como a inclusão de políticas preventivas e protetivas.</w:t>
      </w:r>
    </w:p>
    <w:p w:rsidR="000F1832" w:rsidRDefault="000F1832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ainda que a Escola do Legislativo irá produzir o Estatuto da Criança e do Adolescent</w:t>
      </w:r>
      <w:r>
        <w:rPr>
          <w:rFonts w:ascii="Times New Roman" w:hAnsi="Times New Roman" w:cs="Times New Roman"/>
        </w:rPr>
        <w:t>e, em miúdos, vemos a necessidade desta Casa acrescentar esta comissão permanente no Regimento Interno, pois direcionará ainda mais atenção para este grupo.</w:t>
      </w:r>
    </w:p>
    <w:p w:rsidR="000F1832" w:rsidRDefault="000F1832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importante dizer que a inserção da Proteção dos Direitos da Criança e do Adolescente no rol das </w:t>
      </w:r>
      <w:r>
        <w:rPr>
          <w:rFonts w:ascii="Times New Roman" w:hAnsi="Times New Roman" w:cs="Times New Roman"/>
        </w:rPr>
        <w:t>Comissões Permanentes nesta Casa de Leis reafirmará o entendimento de que é dever dos representantes atuarem em consonância com as necessidades e aspirações dos representados.</w:t>
      </w:r>
    </w:p>
    <w:p w:rsidR="000F1832" w:rsidRDefault="000F1832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F1832" w:rsidRDefault="00516DE8" w:rsidP="00ED4C8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Pautando-se nesses aspectos, é imprescindível o apoio dos demais membros desta </w:t>
      </w:r>
      <w:r>
        <w:rPr>
          <w:rFonts w:ascii="Times New Roman" w:hAnsi="Times New Roman" w:cs="Times New Roman"/>
        </w:rPr>
        <w:t>laboriosa Casa Legislativa para que haja a aprovação do correspondente Projeto de Resolução.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7A6354" w:rsidRDefault="00516DE8" w:rsidP="007A6354">
      <w:pPr>
        <w:jc w:val="center"/>
        <w:rPr>
          <w:color w:val="000000"/>
        </w:rPr>
      </w:pPr>
      <w:r>
        <w:rPr>
          <w:color w:val="000000"/>
        </w:rPr>
        <w:t>Sala das Sessões, em 7 de abril de 2021.</w:t>
      </w:r>
    </w:p>
    <w:p w:rsidR="007A6354" w:rsidRDefault="007A6354" w:rsidP="007A6354">
      <w:pPr>
        <w:rPr>
          <w:color w:val="000000"/>
        </w:rPr>
      </w:pPr>
    </w:p>
    <w:p w:rsidR="007A6354" w:rsidRDefault="00516DE8" w:rsidP="007A6354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D4C81" w:rsidTr="006C0FDF">
        <w:tc>
          <w:tcPr>
            <w:tcW w:w="10205" w:type="dxa"/>
            <w:hideMark/>
          </w:tcPr>
          <w:p w:rsidR="00ED4C81" w:rsidRDefault="00ED4C81" w:rsidP="006C0F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ED4C81" w:rsidTr="006C0FDF">
        <w:tc>
          <w:tcPr>
            <w:tcW w:w="10205" w:type="dxa"/>
            <w:hideMark/>
          </w:tcPr>
          <w:p w:rsidR="00ED4C81" w:rsidRDefault="00ED4C81" w:rsidP="006C0F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D4C81" w:rsidRDefault="00ED4C81" w:rsidP="00ED4C81">
      <w:pPr>
        <w:jc w:val="center"/>
        <w:rPr>
          <w:color w:val="000000"/>
        </w:rPr>
      </w:pPr>
    </w:p>
    <w:p w:rsidR="00ED4C81" w:rsidRDefault="00ED4C81" w:rsidP="00ED4C8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D4C81" w:rsidTr="006C0FDF">
        <w:tc>
          <w:tcPr>
            <w:tcW w:w="5172" w:type="dxa"/>
            <w:hideMark/>
          </w:tcPr>
          <w:p w:rsidR="00ED4C81" w:rsidRDefault="00ED4C81" w:rsidP="006C0F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  <w:tc>
          <w:tcPr>
            <w:tcW w:w="5173" w:type="dxa"/>
            <w:hideMark/>
          </w:tcPr>
          <w:p w:rsidR="00ED4C81" w:rsidRDefault="00ED4C81" w:rsidP="006C0F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Igor Tavares</w:t>
            </w:r>
          </w:p>
        </w:tc>
      </w:tr>
      <w:tr w:rsidR="00ED4C81" w:rsidTr="006C0FDF">
        <w:tc>
          <w:tcPr>
            <w:tcW w:w="5172" w:type="dxa"/>
            <w:hideMark/>
          </w:tcPr>
          <w:p w:rsidR="00ED4C81" w:rsidRDefault="00ED4C81" w:rsidP="006C0F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ED4C81" w:rsidRDefault="00ED4C81" w:rsidP="006C0F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D4C81" w:rsidRDefault="00ED4C81" w:rsidP="00ED4C81">
      <w:pPr>
        <w:rPr>
          <w:color w:val="000000"/>
        </w:rPr>
      </w:pPr>
    </w:p>
    <w:p w:rsidR="00ED4C81" w:rsidRDefault="00ED4C81" w:rsidP="00ED4C8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D4C81" w:rsidTr="006C0FDF">
        <w:tc>
          <w:tcPr>
            <w:tcW w:w="5172" w:type="dxa"/>
            <w:hideMark/>
          </w:tcPr>
          <w:p w:rsidR="00ED4C81" w:rsidRDefault="00ED4C81" w:rsidP="006C0F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  <w:tc>
          <w:tcPr>
            <w:tcW w:w="5173" w:type="dxa"/>
            <w:hideMark/>
          </w:tcPr>
          <w:p w:rsidR="00ED4C81" w:rsidRDefault="00ED4C81" w:rsidP="006C0F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ED4C81" w:rsidTr="006C0FDF">
        <w:tc>
          <w:tcPr>
            <w:tcW w:w="5172" w:type="dxa"/>
            <w:hideMark/>
          </w:tcPr>
          <w:p w:rsidR="00ED4C81" w:rsidRDefault="00ED4C81" w:rsidP="006C0F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ED4C81" w:rsidRDefault="00ED4C81" w:rsidP="006C0F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DE8" w:rsidRDefault="00516DE8">
      <w:r>
        <w:separator/>
      </w:r>
    </w:p>
  </w:endnote>
  <w:endnote w:type="continuationSeparator" w:id="0">
    <w:p w:rsidR="00516DE8" w:rsidRDefault="0051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16D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DE8" w:rsidRDefault="00516DE8">
      <w:r>
        <w:separator/>
      </w:r>
    </w:p>
  </w:footnote>
  <w:footnote w:type="continuationSeparator" w:id="0">
    <w:p w:rsidR="00516DE8" w:rsidRDefault="00516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16DE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469A"/>
    <w:rsid w:val="000B6B2E"/>
    <w:rsid w:val="000D0386"/>
    <w:rsid w:val="000F1832"/>
    <w:rsid w:val="000F211D"/>
    <w:rsid w:val="00103181"/>
    <w:rsid w:val="001E7972"/>
    <w:rsid w:val="00217FD1"/>
    <w:rsid w:val="0029224A"/>
    <w:rsid w:val="002E4E9B"/>
    <w:rsid w:val="003776C3"/>
    <w:rsid w:val="00422481"/>
    <w:rsid w:val="00487EB1"/>
    <w:rsid w:val="004C65C8"/>
    <w:rsid w:val="00516DE8"/>
    <w:rsid w:val="00567F60"/>
    <w:rsid w:val="006C3FC6"/>
    <w:rsid w:val="006D4D0D"/>
    <w:rsid w:val="007076AC"/>
    <w:rsid w:val="007A6354"/>
    <w:rsid w:val="007C5782"/>
    <w:rsid w:val="00865738"/>
    <w:rsid w:val="00880710"/>
    <w:rsid w:val="008A77ED"/>
    <w:rsid w:val="008E3011"/>
    <w:rsid w:val="008F2060"/>
    <w:rsid w:val="009E2AAC"/>
    <w:rsid w:val="00A31701"/>
    <w:rsid w:val="00AB5ADD"/>
    <w:rsid w:val="00AF09C1"/>
    <w:rsid w:val="00AF696C"/>
    <w:rsid w:val="00B77E22"/>
    <w:rsid w:val="00BA05B0"/>
    <w:rsid w:val="00BA101D"/>
    <w:rsid w:val="00C1491B"/>
    <w:rsid w:val="00C865D7"/>
    <w:rsid w:val="00C94212"/>
    <w:rsid w:val="00D166CE"/>
    <w:rsid w:val="00D24611"/>
    <w:rsid w:val="00D32D69"/>
    <w:rsid w:val="00DC3901"/>
    <w:rsid w:val="00E219A3"/>
    <w:rsid w:val="00ED4C81"/>
    <w:rsid w:val="00EF6EB9"/>
    <w:rsid w:val="00F31AE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61565-E364-470C-A465-BBA4A91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dcterms:created xsi:type="dcterms:W3CDTF">2021-01-19T16:36:00Z</dcterms:created>
  <dcterms:modified xsi:type="dcterms:W3CDTF">2021-04-08T16:50:00Z</dcterms:modified>
</cp:coreProperties>
</file>