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485" w:rsidRDefault="00475485" w:rsidP="00470F02">
      <w:pPr>
        <w:jc w:val="center"/>
        <w:rPr>
          <w:b/>
          <w:color w:val="000000"/>
        </w:rPr>
      </w:pPr>
      <w:r>
        <w:rPr>
          <w:b/>
          <w:color w:val="000000"/>
        </w:rPr>
        <w:t>ANTEPROJETO DE LEI Nº XX / 2020</w:t>
      </w:r>
    </w:p>
    <w:p w:rsidR="00475485" w:rsidRPr="00920AA9" w:rsidRDefault="00475485" w:rsidP="00470F02">
      <w:pPr>
        <w:spacing w:line="283" w:lineRule="auto"/>
        <w:rPr>
          <w:b/>
          <w:color w:val="000000"/>
        </w:rPr>
      </w:pPr>
    </w:p>
    <w:p w:rsidR="00475485" w:rsidRPr="00470F02" w:rsidRDefault="00475485" w:rsidP="00470F02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A </w:t>
      </w:r>
      <w:r w:rsidR="00387D93">
        <w:rPr>
          <w:b/>
        </w:rPr>
        <w:t>ADEQUAÇÃO DO SERVIÇO DE SEGURANÇA E VIGILÂNCIA EM INSTITUIÇÕES FINANCEIRAS D</w:t>
      </w:r>
      <w:r>
        <w:rPr>
          <w:b/>
        </w:rPr>
        <w:t>O MUNICÍPIO DE POUSO ALEGRE, E DÁ OUTRAS PROVIDÊNCIAS.</w:t>
      </w:r>
    </w:p>
    <w:p w:rsidR="00475485" w:rsidRPr="00470F02" w:rsidRDefault="00475485" w:rsidP="00475485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475485" w:rsidRPr="00470F02" w:rsidRDefault="00475485" w:rsidP="00470F02">
      <w:pPr>
        <w:ind w:right="-1"/>
        <w:jc w:val="both"/>
      </w:pPr>
      <w:r w:rsidRPr="00470F02">
        <w:t>A Câmara Municipal de Pouso Alegre, Estado de Minas Gerais, aprova e o Chefe do Poder Executivo sanciona e promulga a seguinte Lei:</w:t>
      </w:r>
    </w:p>
    <w:p w:rsidR="00475485" w:rsidRPr="00470F02" w:rsidRDefault="00475485" w:rsidP="00470F02">
      <w:pPr>
        <w:ind w:left="567" w:right="567" w:firstLine="2835"/>
        <w:rPr>
          <w:color w:val="000000"/>
        </w:rPr>
      </w:pPr>
    </w:p>
    <w:p w:rsidR="00475485" w:rsidRPr="00470F02" w:rsidRDefault="00475485" w:rsidP="00470F0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70F02">
        <w:rPr>
          <w:rFonts w:ascii="Times New Roman" w:eastAsia="Times New Roman" w:hAnsi="Times New Roman"/>
          <w:color w:val="000000"/>
        </w:rPr>
        <w:t>Art. 1º</w:t>
      </w:r>
      <w:r w:rsidR="0097643F" w:rsidRPr="00470F02">
        <w:rPr>
          <w:rFonts w:ascii="Times New Roman" w:eastAsia="Times New Roman" w:hAnsi="Times New Roman"/>
          <w:color w:val="000000"/>
        </w:rPr>
        <w:t>.</w:t>
      </w:r>
      <w:r w:rsidRPr="00470F02">
        <w:rPr>
          <w:rFonts w:ascii="Times New Roman" w:eastAsia="Times New Roman" w:hAnsi="Times New Roman"/>
          <w:color w:val="000000"/>
        </w:rPr>
        <w:t xml:space="preserve"> </w:t>
      </w:r>
      <w:r w:rsidR="00387D93" w:rsidRPr="00470F02">
        <w:rPr>
          <w:rFonts w:ascii="Times New Roman" w:eastAsia="Times New Roman" w:hAnsi="Times New Roman"/>
          <w:color w:val="000000"/>
        </w:rPr>
        <w:t>Sem prejuízo de outros equipamentos e da legislação vigente, é obrigatório às instituições financeiras e/ou bancárias do município de Pouso Alegre providenciar, os seguintes itens de segurança:</w:t>
      </w:r>
    </w:p>
    <w:p w:rsidR="00387D93" w:rsidRPr="00470F02" w:rsidRDefault="00387D93" w:rsidP="00470F0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387D93" w:rsidRPr="00470F02" w:rsidRDefault="00387D93" w:rsidP="00470F0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70F02">
        <w:rPr>
          <w:rFonts w:ascii="Times New Roman" w:eastAsia="Times New Roman" w:hAnsi="Times New Roman"/>
          <w:color w:val="000000"/>
        </w:rPr>
        <w:t>I – No mínimo 1 (um) escudo de proteção ou cabine para guardas ou vigilantes, medindo, no mínimo, 2 (dois) metros</w:t>
      </w:r>
      <w:r w:rsidR="0097643F" w:rsidRPr="00470F02">
        <w:rPr>
          <w:rFonts w:ascii="Times New Roman" w:eastAsia="Times New Roman" w:hAnsi="Times New Roman"/>
          <w:color w:val="000000"/>
        </w:rPr>
        <w:t xml:space="preserve"> de altura e contendo assento apropriado.</w:t>
      </w:r>
    </w:p>
    <w:p w:rsidR="0097643F" w:rsidRPr="00470F02" w:rsidRDefault="0097643F" w:rsidP="00470F0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7643F" w:rsidRPr="00470F02" w:rsidRDefault="0097643F" w:rsidP="00470F0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70F02">
        <w:rPr>
          <w:rFonts w:ascii="Times New Roman" w:eastAsia="Times New Roman" w:hAnsi="Times New Roman"/>
          <w:color w:val="000000"/>
        </w:rPr>
        <w:t>II – A manutenção de pelo menos 1 (um) vigilante na sala d autoatendimento da instituição bancária durante o horário de expediente bancário.</w:t>
      </w:r>
    </w:p>
    <w:p w:rsidR="0097643F" w:rsidRPr="00470F02" w:rsidRDefault="0097643F" w:rsidP="00470F0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7643F" w:rsidRPr="00470F02" w:rsidRDefault="0097643F" w:rsidP="00470F0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70F02">
        <w:rPr>
          <w:rFonts w:ascii="Times New Roman" w:eastAsia="Times New Roman" w:hAnsi="Times New Roman"/>
          <w:color w:val="000000"/>
        </w:rPr>
        <w:t>III – A manutenção obrigatória de no mínimo 1(um) vigilante armado nas dependências da instituição bancária 24 h (vinte e quatro horas) por dia, inclusive em finais de semana e feriados.</w:t>
      </w:r>
    </w:p>
    <w:p w:rsidR="0097643F" w:rsidRPr="00470F02" w:rsidRDefault="0097643F" w:rsidP="00470F0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7643F" w:rsidRPr="00470F02" w:rsidRDefault="0097643F" w:rsidP="00470F0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70F02">
        <w:rPr>
          <w:rFonts w:ascii="Times New Roman" w:eastAsia="Times New Roman" w:hAnsi="Times New Roman"/>
          <w:color w:val="000000"/>
        </w:rPr>
        <w:t>Parágrafo Único – O vigilante que trata o inciso III deste artigo deverá permanecer no interior da instituição financeira, em local no qual possa se proteger durante a jornada de trabalho, possuindo visão ampla da sala de autoatendimento, além de dispor de botão de pânico e terminal telefônico, para acionamento da polícia militar.</w:t>
      </w:r>
    </w:p>
    <w:p w:rsidR="0097643F" w:rsidRPr="00470F02" w:rsidRDefault="0097643F" w:rsidP="00470F0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7643F" w:rsidRPr="00470F02" w:rsidRDefault="0097643F" w:rsidP="00470F0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70F02">
        <w:rPr>
          <w:rFonts w:ascii="Times New Roman" w:eastAsia="Times New Roman" w:hAnsi="Times New Roman"/>
          <w:color w:val="000000"/>
        </w:rPr>
        <w:t xml:space="preserve">Art. 2º. Os estabelecimentos constantes do artigo primeiro que infringirem o disposto nesta lei, ficarão sujeitos a penalidades estabelecidas e fixadas pelo Poder Executivo, em ato próprio. </w:t>
      </w:r>
    </w:p>
    <w:p w:rsidR="00475485" w:rsidRPr="00470F02" w:rsidRDefault="00475485" w:rsidP="00470F0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70F02">
        <w:rPr>
          <w:rFonts w:ascii="Times New Roman" w:eastAsia="Times New Roman" w:hAnsi="Times New Roman"/>
          <w:color w:val="000000"/>
        </w:rPr>
        <w:br/>
        <w:t>Art. 3º</w:t>
      </w:r>
      <w:r w:rsidR="0097643F" w:rsidRPr="00470F02">
        <w:rPr>
          <w:rFonts w:ascii="Times New Roman" w:eastAsia="Times New Roman" w:hAnsi="Times New Roman"/>
          <w:color w:val="000000"/>
        </w:rPr>
        <w:t xml:space="preserve">. </w:t>
      </w:r>
      <w:r w:rsidRPr="00470F02">
        <w:rPr>
          <w:rFonts w:ascii="Times New Roman" w:eastAsia="Times New Roman" w:hAnsi="Times New Roman"/>
          <w:color w:val="000000"/>
        </w:rPr>
        <w:t>Para os fins desta Lei, considera-se vigilante a pessoa adequadamente preparada com cursos de formação para o ofício, devidamente regulamentados pela legislação.</w:t>
      </w:r>
    </w:p>
    <w:p w:rsidR="0097643F" w:rsidRPr="00470F02" w:rsidRDefault="00475485" w:rsidP="00470F0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70F02">
        <w:rPr>
          <w:rFonts w:ascii="Times New Roman" w:eastAsia="Times New Roman" w:hAnsi="Times New Roman"/>
          <w:color w:val="000000"/>
        </w:rPr>
        <w:br/>
        <w:t>Art.</w:t>
      </w:r>
      <w:r w:rsidR="0097643F" w:rsidRPr="00470F02">
        <w:rPr>
          <w:rFonts w:ascii="Times New Roman" w:eastAsia="Times New Roman" w:hAnsi="Times New Roman"/>
          <w:color w:val="000000"/>
        </w:rPr>
        <w:t xml:space="preserve">4º. Os estabelecimentos de </w:t>
      </w:r>
      <w:r w:rsidR="00470F02" w:rsidRPr="00470F02">
        <w:rPr>
          <w:rFonts w:ascii="Times New Roman" w:eastAsia="Times New Roman" w:hAnsi="Times New Roman"/>
          <w:color w:val="000000"/>
        </w:rPr>
        <w:t>que trata o artigo primeiro desta Lei terão o prazo de até 120 (cento e vinte) dias, a contar da sua publicação para se adaptarem às suas disposições.</w:t>
      </w:r>
    </w:p>
    <w:p w:rsidR="00475485" w:rsidRPr="00470F02" w:rsidRDefault="00475485" w:rsidP="00470F0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70F02">
        <w:rPr>
          <w:rFonts w:ascii="Times New Roman" w:eastAsia="Times New Roman" w:hAnsi="Times New Roman"/>
          <w:color w:val="000000"/>
        </w:rPr>
        <w:t> </w:t>
      </w:r>
      <w:r w:rsidR="0097643F" w:rsidRPr="00470F02">
        <w:rPr>
          <w:rFonts w:ascii="Times New Roman" w:eastAsia="Times New Roman" w:hAnsi="Times New Roman"/>
          <w:color w:val="000000"/>
        </w:rPr>
        <w:t xml:space="preserve"> </w:t>
      </w:r>
      <w:r w:rsidRPr="00470F02">
        <w:rPr>
          <w:rFonts w:ascii="Times New Roman" w:eastAsia="Times New Roman" w:hAnsi="Times New Roman"/>
          <w:color w:val="000000"/>
        </w:rPr>
        <w:br/>
        <w:t>Art. 5º Revogadas as disposições em contrário, esta Lei entra em vigor na data de sua publicação.</w:t>
      </w:r>
    </w:p>
    <w:p w:rsidR="00475485" w:rsidRPr="00920AA9" w:rsidRDefault="00475485" w:rsidP="00470F0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475485" w:rsidRPr="00920AA9" w:rsidRDefault="00475485" w:rsidP="00470F02">
      <w:pPr>
        <w:ind w:right="567" w:firstLine="2835"/>
        <w:rPr>
          <w:b/>
          <w:color w:val="000000"/>
        </w:rPr>
      </w:pPr>
    </w:p>
    <w:p w:rsidR="00475485" w:rsidRDefault="00475485" w:rsidP="00470F02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491D7E">
        <w:rPr>
          <w:color w:val="000000"/>
        </w:rPr>
        <w:t xml:space="preserve">29 </w:t>
      </w:r>
      <w:r>
        <w:rPr>
          <w:color w:val="000000"/>
        </w:rPr>
        <w:t xml:space="preserve">de </w:t>
      </w:r>
      <w:r w:rsidR="00491D7E">
        <w:rPr>
          <w:color w:val="000000"/>
        </w:rPr>
        <w:t>outubro</w:t>
      </w:r>
      <w:r>
        <w:rPr>
          <w:color w:val="000000"/>
        </w:rPr>
        <w:t xml:space="preserve"> de 2020.</w:t>
      </w:r>
    </w:p>
    <w:p w:rsidR="00475485" w:rsidRDefault="00475485" w:rsidP="00470F02">
      <w:pPr>
        <w:jc w:val="center"/>
        <w:rPr>
          <w:color w:val="000000"/>
        </w:rPr>
      </w:pPr>
    </w:p>
    <w:p w:rsidR="00475485" w:rsidRDefault="00475485" w:rsidP="00470F02">
      <w:pPr>
        <w:jc w:val="center"/>
        <w:rPr>
          <w:color w:val="000000"/>
        </w:rPr>
      </w:pPr>
    </w:p>
    <w:p w:rsidR="00475485" w:rsidRDefault="00475485" w:rsidP="00470F02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475485" w:rsidTr="00D00836">
        <w:tc>
          <w:tcPr>
            <w:tcW w:w="10345" w:type="dxa"/>
          </w:tcPr>
          <w:p w:rsidR="00475485" w:rsidRPr="00470F02" w:rsidRDefault="00475485" w:rsidP="00470F02">
            <w:pPr>
              <w:jc w:val="center"/>
              <w:rPr>
                <w:b/>
                <w:color w:val="000000"/>
              </w:rPr>
            </w:pPr>
            <w:r w:rsidRPr="00470F02">
              <w:rPr>
                <w:b/>
                <w:color w:val="000000"/>
              </w:rPr>
              <w:t>Oliveira</w:t>
            </w:r>
          </w:p>
        </w:tc>
      </w:tr>
      <w:tr w:rsidR="00475485" w:rsidTr="00D00836">
        <w:tc>
          <w:tcPr>
            <w:tcW w:w="10345" w:type="dxa"/>
          </w:tcPr>
          <w:p w:rsidR="00475485" w:rsidRPr="00470F02" w:rsidRDefault="00475485" w:rsidP="00470F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0F02">
              <w:rPr>
                <w:b/>
                <w:color w:val="000000"/>
                <w:sz w:val="20"/>
                <w:szCs w:val="20"/>
              </w:rPr>
              <w:t>VEREADOR</w:t>
            </w:r>
          </w:p>
        </w:tc>
      </w:tr>
    </w:tbl>
    <w:p w:rsidR="00475485" w:rsidRDefault="00475485" w:rsidP="00470F02">
      <w:pPr>
        <w:spacing w:after="200" w:line="276" w:lineRule="auto"/>
        <w:jc w:val="center"/>
        <w:rPr>
          <w:b/>
        </w:rPr>
      </w:pPr>
      <w:r>
        <w:rPr>
          <w:b/>
        </w:rPr>
        <w:lastRenderedPageBreak/>
        <w:t>JUSTIFICATIVA</w:t>
      </w:r>
    </w:p>
    <w:p w:rsidR="00475485" w:rsidRPr="00920AA9" w:rsidRDefault="00475485" w:rsidP="00475485">
      <w:pPr>
        <w:spacing w:line="283" w:lineRule="auto"/>
        <w:ind w:left="2835"/>
        <w:rPr>
          <w:color w:val="000000"/>
        </w:rPr>
      </w:pPr>
    </w:p>
    <w:p w:rsidR="00475485" w:rsidRPr="00BD1E3A" w:rsidRDefault="00475485" w:rsidP="00475485">
      <w:pPr>
        <w:pStyle w:val="SemEspaamento"/>
        <w:jc w:val="both"/>
        <w:rPr>
          <w:sz w:val="21"/>
          <w:szCs w:val="21"/>
        </w:rPr>
      </w:pPr>
      <w:r w:rsidRPr="00BD1E3A">
        <w:rPr>
          <w:sz w:val="21"/>
          <w:szCs w:val="21"/>
        </w:rPr>
        <w:t>O presente Projeto Lei tem por finalidade estabelecer a adequação do serviço de segurança e vigilância em instituições bancárias do município de Pouso Alegre, de forma ininterrupta durante as 24 (vinte e quatro) horas do dia.</w:t>
      </w:r>
    </w:p>
    <w:p w:rsidR="00475485" w:rsidRPr="00BD1E3A" w:rsidRDefault="00475485" w:rsidP="00475485">
      <w:pPr>
        <w:pStyle w:val="SemEspaamento"/>
        <w:jc w:val="both"/>
        <w:rPr>
          <w:sz w:val="21"/>
          <w:szCs w:val="21"/>
        </w:rPr>
      </w:pPr>
      <w:r w:rsidRPr="00BD1E3A">
        <w:rPr>
          <w:sz w:val="21"/>
          <w:szCs w:val="21"/>
        </w:rPr>
        <w:br/>
        <w:t>A fragilidade do sistema de segurança bancária, especialmente no que diz respeito à preservação da vida, expõe os bancários, seus familiares, clientes e transeuntes das proximidades a risco de morte, traumas, marcas e sequelas, que poderão refletir futuramente sobre a saúde física e mental de quem se toma vítima da violência.</w:t>
      </w:r>
    </w:p>
    <w:p w:rsidR="00475485" w:rsidRPr="00BD1E3A" w:rsidRDefault="00475485" w:rsidP="00475485">
      <w:pPr>
        <w:pStyle w:val="SemEspaamento"/>
        <w:jc w:val="both"/>
        <w:rPr>
          <w:sz w:val="21"/>
          <w:szCs w:val="21"/>
        </w:rPr>
      </w:pPr>
      <w:r w:rsidRPr="00BD1E3A">
        <w:rPr>
          <w:sz w:val="21"/>
          <w:szCs w:val="21"/>
        </w:rPr>
        <w:br/>
        <w:t xml:space="preserve">A matéria veiculada neste Projeto de Lei se adéqua aos princípios de Competência Legislativas asseguradas ao Município e insculpidos no artigo 30, inciso I da Constituição Federal e não conflita com a Competência Privativa da União Federal (artigo 22 da Constituição Federal) e também não conflita com a Competência Concorrente entre a União Federal, Estados e Distrito Federal (artigo 24 da Constituição Federal). </w:t>
      </w:r>
    </w:p>
    <w:p w:rsidR="00475485" w:rsidRPr="00BD1E3A" w:rsidRDefault="00475485" w:rsidP="00475485">
      <w:pPr>
        <w:pStyle w:val="SemEspaamento"/>
        <w:jc w:val="both"/>
        <w:rPr>
          <w:sz w:val="21"/>
          <w:szCs w:val="21"/>
        </w:rPr>
      </w:pPr>
    </w:p>
    <w:p w:rsidR="00475485" w:rsidRPr="00BD1E3A" w:rsidRDefault="00475485" w:rsidP="00475485">
      <w:pPr>
        <w:pStyle w:val="SemEspaamento"/>
        <w:jc w:val="both"/>
        <w:rPr>
          <w:sz w:val="21"/>
          <w:szCs w:val="21"/>
        </w:rPr>
      </w:pPr>
      <w:r w:rsidRPr="00BD1E3A">
        <w:rPr>
          <w:sz w:val="21"/>
          <w:szCs w:val="21"/>
        </w:rPr>
        <w:t>“Artigo 30:” Compete aos Municípios: I – legislar sobre assuntos de interesse local;”</w:t>
      </w:r>
    </w:p>
    <w:p w:rsidR="00475485" w:rsidRPr="00BD1E3A" w:rsidRDefault="00475485" w:rsidP="00475485">
      <w:pPr>
        <w:pStyle w:val="SemEspaamento"/>
        <w:jc w:val="both"/>
        <w:rPr>
          <w:sz w:val="21"/>
          <w:szCs w:val="21"/>
        </w:rPr>
      </w:pPr>
    </w:p>
    <w:p w:rsidR="00475485" w:rsidRPr="00BD1E3A" w:rsidRDefault="00475485" w:rsidP="00475485">
      <w:pPr>
        <w:pStyle w:val="SemEspaamento"/>
        <w:jc w:val="both"/>
        <w:rPr>
          <w:sz w:val="21"/>
          <w:szCs w:val="21"/>
        </w:rPr>
      </w:pPr>
      <w:r w:rsidRPr="00BD1E3A">
        <w:rPr>
          <w:sz w:val="21"/>
          <w:szCs w:val="21"/>
        </w:rPr>
        <w:t>Portanto, faz-se necessário o estabelecimento de uma política de normas e rotinas de segurança, que valorize a vida acima de tudo e preconize a execução dos demais serviços de maneira segura e responsável, respeitando e preservando a integridade física das pessoas, a continuidade operacional e o patrimônio.</w:t>
      </w:r>
    </w:p>
    <w:p w:rsidR="00475485" w:rsidRPr="00BD1E3A" w:rsidRDefault="00475485" w:rsidP="00475485">
      <w:pPr>
        <w:pStyle w:val="SemEspaamento"/>
        <w:jc w:val="both"/>
        <w:rPr>
          <w:sz w:val="21"/>
          <w:szCs w:val="21"/>
        </w:rPr>
      </w:pPr>
      <w:r w:rsidRPr="00BD1E3A">
        <w:rPr>
          <w:sz w:val="21"/>
          <w:szCs w:val="21"/>
        </w:rPr>
        <w:br/>
        <w:t>Importante salientar que o Município de Itajubá/MG instituiu a Lei 3377/2020 e também o Município de Ubá/MG, instituiu pela Lei 4715/2019, que também norteiam a necessidade integral de vigilância armada em instituições bancárias.</w:t>
      </w:r>
    </w:p>
    <w:p w:rsidR="00475485" w:rsidRPr="00BD1E3A" w:rsidRDefault="00475485" w:rsidP="00475485">
      <w:pPr>
        <w:pStyle w:val="SemEspaamento"/>
        <w:jc w:val="both"/>
        <w:rPr>
          <w:sz w:val="21"/>
          <w:szCs w:val="21"/>
        </w:rPr>
      </w:pPr>
      <w:r w:rsidRPr="00BD1E3A">
        <w:rPr>
          <w:sz w:val="21"/>
          <w:szCs w:val="21"/>
        </w:rPr>
        <w:br/>
        <w:t>Consequentemente, a responsabilidade pela atividade de segurança privada e a consequente elaboração e operação do respectivo plano de segurança recaem sobre quem detém poder para estabelecer a política, as normas e as rotinas de segurança.</w:t>
      </w:r>
    </w:p>
    <w:p w:rsidR="00475485" w:rsidRPr="00BD1E3A" w:rsidRDefault="00475485" w:rsidP="00475485">
      <w:pPr>
        <w:pStyle w:val="SemEspaamento"/>
        <w:jc w:val="both"/>
        <w:rPr>
          <w:sz w:val="21"/>
          <w:szCs w:val="21"/>
        </w:rPr>
      </w:pPr>
      <w:r w:rsidRPr="00BD1E3A">
        <w:rPr>
          <w:sz w:val="21"/>
          <w:szCs w:val="21"/>
        </w:rPr>
        <w:br/>
        <w:t xml:space="preserve">Outro fato que merece destaque é o exercício de poder de polícia do município, descrito na Lei Orgânica Municipal e que deve estar atento às questões de segurança da população, conforme art. 19, incisos </w:t>
      </w:r>
      <w:proofErr w:type="gramStart"/>
      <w:r w:rsidRPr="00BD1E3A">
        <w:rPr>
          <w:sz w:val="21"/>
          <w:szCs w:val="21"/>
        </w:rPr>
        <w:t>XXIX,  artigo</w:t>
      </w:r>
      <w:proofErr w:type="gramEnd"/>
      <w:r w:rsidRPr="00BD1E3A">
        <w:rPr>
          <w:sz w:val="21"/>
          <w:szCs w:val="21"/>
        </w:rPr>
        <w:t xml:space="preserve"> 91 e 93 da Lei Orgânica Municipal de Pouso Alegre, que preconizam:</w:t>
      </w:r>
    </w:p>
    <w:p w:rsidR="00475485" w:rsidRPr="00BD1E3A" w:rsidRDefault="00475485" w:rsidP="00475485">
      <w:pPr>
        <w:pStyle w:val="SemEspaamento"/>
        <w:jc w:val="both"/>
        <w:rPr>
          <w:sz w:val="21"/>
          <w:szCs w:val="21"/>
        </w:rPr>
      </w:pPr>
    </w:p>
    <w:p w:rsidR="00475485" w:rsidRPr="00BD1E3A" w:rsidRDefault="00475485" w:rsidP="00475485">
      <w:pPr>
        <w:pStyle w:val="SemEspaamento"/>
        <w:jc w:val="both"/>
        <w:rPr>
          <w:sz w:val="21"/>
          <w:szCs w:val="21"/>
        </w:rPr>
      </w:pPr>
      <w:r w:rsidRPr="00BD1E3A">
        <w:rPr>
          <w:sz w:val="21"/>
          <w:szCs w:val="21"/>
        </w:rPr>
        <w:t>Art. 19: Compete ao Município: “… inciso XXIX: - organizar e manter os serviços de fiscalização necessários ao exercício do seu poder de polícia administrativa”;</w:t>
      </w:r>
    </w:p>
    <w:p w:rsidR="00475485" w:rsidRPr="00BD1E3A" w:rsidRDefault="00475485" w:rsidP="00475485">
      <w:pPr>
        <w:pStyle w:val="SemEspaamento"/>
        <w:jc w:val="both"/>
        <w:rPr>
          <w:sz w:val="21"/>
          <w:szCs w:val="21"/>
        </w:rPr>
      </w:pPr>
      <w:r w:rsidRPr="00BD1E3A">
        <w:rPr>
          <w:sz w:val="21"/>
          <w:szCs w:val="21"/>
        </w:rPr>
        <w:br/>
        <w:t>Art. 91: Compete ao Município exercer poder de polícia administrativa sobre todas as atividades e bens de interesse local, que afetam ou possam afetar a coletividade.</w:t>
      </w:r>
    </w:p>
    <w:p w:rsidR="00475485" w:rsidRPr="00BD1E3A" w:rsidRDefault="00475485" w:rsidP="00475485">
      <w:pPr>
        <w:pStyle w:val="SemEspaamento"/>
        <w:jc w:val="both"/>
        <w:rPr>
          <w:sz w:val="21"/>
          <w:szCs w:val="21"/>
        </w:rPr>
      </w:pPr>
      <w:r w:rsidRPr="00BD1E3A">
        <w:rPr>
          <w:sz w:val="21"/>
          <w:szCs w:val="21"/>
        </w:rPr>
        <w:br/>
        <w:t>Art. 93. A polícia administrativa municipal atuará, preferentemente, de forma preventiva, mediante normas limitadoras e sancionadoras da conduta prejudicial à coletividade.</w:t>
      </w:r>
    </w:p>
    <w:p w:rsidR="00475485" w:rsidRPr="00BD1E3A" w:rsidRDefault="00475485" w:rsidP="00475485">
      <w:pPr>
        <w:pStyle w:val="SemEspaamento"/>
        <w:jc w:val="both"/>
        <w:rPr>
          <w:sz w:val="21"/>
          <w:szCs w:val="21"/>
        </w:rPr>
      </w:pPr>
      <w:r w:rsidRPr="00BD1E3A">
        <w:rPr>
          <w:sz w:val="21"/>
          <w:szCs w:val="21"/>
        </w:rPr>
        <w:br/>
        <w:t>Dessa forma, pretende a presente propositura proteger os usuários, consumidores, funcionários e proprietários que utilizam ou proporcionam os serviços acima descritos.</w:t>
      </w:r>
    </w:p>
    <w:p w:rsidR="00475485" w:rsidRPr="00BD1E3A" w:rsidRDefault="00475485" w:rsidP="00475485">
      <w:pPr>
        <w:pStyle w:val="SemEspaamento"/>
        <w:jc w:val="both"/>
        <w:rPr>
          <w:sz w:val="21"/>
          <w:szCs w:val="21"/>
        </w:rPr>
      </w:pPr>
      <w:r w:rsidRPr="00BD1E3A">
        <w:rPr>
          <w:sz w:val="21"/>
          <w:szCs w:val="21"/>
        </w:rPr>
        <w:br/>
        <w:t>Assim, ciente de que este projeto poderá colaborar para a segurança pública do nosso Município, peço apoio aos nobres colegas vereadores para a sua aprovação.</w:t>
      </w:r>
    </w:p>
    <w:p w:rsidR="00475485" w:rsidRPr="00BD1E3A" w:rsidRDefault="00475485" w:rsidP="00475485">
      <w:pPr>
        <w:ind w:left="567" w:right="567" w:firstLine="2835"/>
        <w:jc w:val="both"/>
        <w:rPr>
          <w:color w:val="000000"/>
          <w:sz w:val="21"/>
          <w:szCs w:val="21"/>
        </w:rPr>
      </w:pPr>
    </w:p>
    <w:p w:rsidR="00475485" w:rsidRPr="00BD1E3A" w:rsidRDefault="00475485" w:rsidP="00475485">
      <w:pPr>
        <w:jc w:val="center"/>
        <w:rPr>
          <w:color w:val="000000"/>
          <w:sz w:val="21"/>
          <w:szCs w:val="21"/>
        </w:rPr>
      </w:pPr>
      <w:r w:rsidRPr="00BD1E3A">
        <w:rPr>
          <w:color w:val="000000"/>
          <w:sz w:val="21"/>
          <w:szCs w:val="21"/>
        </w:rPr>
        <w:t xml:space="preserve">Sala das Sessões, em </w:t>
      </w:r>
      <w:r w:rsidR="00491D7E">
        <w:rPr>
          <w:color w:val="000000"/>
          <w:sz w:val="21"/>
          <w:szCs w:val="21"/>
        </w:rPr>
        <w:t>29</w:t>
      </w:r>
      <w:r w:rsidRPr="00BD1E3A">
        <w:rPr>
          <w:color w:val="000000"/>
          <w:sz w:val="21"/>
          <w:szCs w:val="21"/>
        </w:rPr>
        <w:t xml:space="preserve"> de </w:t>
      </w:r>
      <w:r w:rsidR="00491D7E">
        <w:rPr>
          <w:color w:val="000000"/>
          <w:sz w:val="21"/>
          <w:szCs w:val="21"/>
        </w:rPr>
        <w:t>outubro</w:t>
      </w:r>
      <w:r w:rsidRPr="00BD1E3A">
        <w:rPr>
          <w:color w:val="000000"/>
          <w:sz w:val="21"/>
          <w:szCs w:val="21"/>
        </w:rPr>
        <w:t xml:space="preserve"> de 2020.</w:t>
      </w:r>
    </w:p>
    <w:p w:rsidR="00475485" w:rsidRPr="00BD1E3A" w:rsidRDefault="00475485" w:rsidP="00475485">
      <w:pPr>
        <w:jc w:val="center"/>
        <w:rPr>
          <w:color w:val="000000"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475485" w:rsidRPr="00BD1E3A" w:rsidTr="00D00836">
        <w:tc>
          <w:tcPr>
            <w:tcW w:w="10205" w:type="dxa"/>
          </w:tcPr>
          <w:p w:rsidR="00475485" w:rsidRPr="00470F02" w:rsidRDefault="00475485" w:rsidP="00D00836">
            <w:pPr>
              <w:jc w:val="center"/>
              <w:rPr>
                <w:b/>
                <w:color w:val="000000"/>
                <w:sz w:val="21"/>
                <w:szCs w:val="21"/>
              </w:rPr>
            </w:pPr>
            <w:bookmarkStart w:id="0" w:name="_GoBack"/>
            <w:bookmarkEnd w:id="0"/>
            <w:r w:rsidRPr="00470F02">
              <w:rPr>
                <w:b/>
                <w:color w:val="000000"/>
                <w:sz w:val="21"/>
                <w:szCs w:val="21"/>
              </w:rPr>
              <w:t>Oliveira</w:t>
            </w:r>
          </w:p>
        </w:tc>
      </w:tr>
      <w:tr w:rsidR="00475485" w:rsidTr="00D00836">
        <w:tc>
          <w:tcPr>
            <w:tcW w:w="10205" w:type="dxa"/>
          </w:tcPr>
          <w:p w:rsidR="00475485" w:rsidRPr="00470F02" w:rsidRDefault="00475485" w:rsidP="00D008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0F02">
              <w:rPr>
                <w:b/>
                <w:color w:val="000000"/>
                <w:sz w:val="20"/>
                <w:szCs w:val="20"/>
              </w:rPr>
              <w:t>VEREADOR</w:t>
            </w:r>
          </w:p>
        </w:tc>
      </w:tr>
    </w:tbl>
    <w:p w:rsidR="003E0C0F" w:rsidRDefault="003E0C0F" w:rsidP="004708C5"/>
    <w:sectPr w:rsidR="003E0C0F" w:rsidSect="006E5AF1">
      <w:headerReference w:type="default" r:id="rId6"/>
      <w:footerReference w:type="even" r:id="rId7"/>
      <w:footerReference w:type="default" r:id="rId8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634" w:rsidRDefault="00626634" w:rsidP="00470F02">
      <w:r>
        <w:separator/>
      </w:r>
    </w:p>
  </w:endnote>
  <w:endnote w:type="continuationSeparator" w:id="0">
    <w:p w:rsidR="00626634" w:rsidRDefault="00626634" w:rsidP="0047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91B8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2663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2663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2663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634" w:rsidRDefault="00626634" w:rsidP="00470F02">
      <w:r>
        <w:separator/>
      </w:r>
    </w:p>
  </w:footnote>
  <w:footnote w:type="continuationSeparator" w:id="0">
    <w:p w:rsidR="00626634" w:rsidRDefault="00626634" w:rsidP="00470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91B84" w:rsidP="00470F02">
    <w:pPr>
      <w:pStyle w:val="Cabealho"/>
      <w:tabs>
        <w:tab w:val="left" w:pos="708"/>
      </w:tabs>
      <w:spacing w:line="278" w:lineRule="auto"/>
      <w:rPr>
        <w:sz w:val="32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E940F8" wp14:editId="706E4488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626634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E940F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B91B84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85"/>
    <w:rsid w:val="00387D93"/>
    <w:rsid w:val="003E0C0F"/>
    <w:rsid w:val="004708C5"/>
    <w:rsid w:val="00470F02"/>
    <w:rsid w:val="00475485"/>
    <w:rsid w:val="00491D7E"/>
    <w:rsid w:val="00626634"/>
    <w:rsid w:val="0097643F"/>
    <w:rsid w:val="00B9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AB674-0D4B-4D87-AB94-2FBD4B82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4754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7548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475485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475485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475485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475485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475485"/>
  </w:style>
  <w:style w:type="paragraph" w:customStyle="1" w:styleId="Normal0">
    <w:name w:val="[Normal]"/>
    <w:rsid w:val="0047548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4754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475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positivo-juridico01</dc:creator>
  <cp:keywords/>
  <dc:description/>
  <cp:lastModifiedBy>cmpa3371</cp:lastModifiedBy>
  <cp:revision>4</cp:revision>
  <dcterms:created xsi:type="dcterms:W3CDTF">2020-10-29T17:33:00Z</dcterms:created>
  <dcterms:modified xsi:type="dcterms:W3CDTF">2020-10-29T20:26:00Z</dcterms:modified>
</cp:coreProperties>
</file>