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D9" w:rsidRPr="006A745F" w:rsidRDefault="004A2ED9" w:rsidP="004A2ED9">
      <w:pPr>
        <w:jc w:val="center"/>
        <w:rPr>
          <w:rFonts w:ascii="Times New Roman" w:hAnsi="Times New Roman"/>
          <w:b/>
          <w:color w:val="000000"/>
          <w:sz w:val="24"/>
          <w:szCs w:val="24"/>
        </w:rPr>
      </w:pPr>
      <w:r w:rsidRPr="006A745F">
        <w:rPr>
          <w:rFonts w:ascii="Times New Roman" w:hAnsi="Times New Roman"/>
          <w:b/>
          <w:color w:val="000000"/>
          <w:sz w:val="24"/>
          <w:szCs w:val="24"/>
        </w:rPr>
        <w:t>PROJETO DE LEI Nº 1</w:t>
      </w:r>
      <w:r w:rsidRPr="006A745F">
        <w:rPr>
          <w:rFonts w:ascii="Times New Roman" w:hAnsi="Times New Roman"/>
          <w:b/>
          <w:color w:val="000000"/>
          <w:sz w:val="24"/>
          <w:szCs w:val="24"/>
        </w:rPr>
        <w:t>098</w:t>
      </w:r>
      <w:r w:rsidRPr="006A745F">
        <w:rPr>
          <w:rFonts w:ascii="Times New Roman" w:hAnsi="Times New Roman"/>
          <w:b/>
          <w:color w:val="000000"/>
          <w:sz w:val="24"/>
          <w:szCs w:val="24"/>
        </w:rPr>
        <w:t xml:space="preserve"> /</w:t>
      </w:r>
      <w:r w:rsidRPr="006A745F">
        <w:rPr>
          <w:rFonts w:ascii="Times New Roman" w:hAnsi="Times New Roman"/>
          <w:b/>
          <w:color w:val="000000"/>
          <w:sz w:val="24"/>
          <w:szCs w:val="24"/>
        </w:rPr>
        <w:t xml:space="preserve"> 2020</w:t>
      </w:r>
    </w:p>
    <w:p w:rsidR="004A2ED9" w:rsidRPr="006A745F" w:rsidRDefault="004A2ED9" w:rsidP="004A2ED9">
      <w:pPr>
        <w:suppressAutoHyphens/>
        <w:ind w:left="5103"/>
        <w:jc w:val="both"/>
        <w:rPr>
          <w:rFonts w:ascii="Times New Roman" w:hAnsi="Times New Roman"/>
          <w:sz w:val="24"/>
          <w:szCs w:val="24"/>
        </w:rPr>
      </w:pPr>
    </w:p>
    <w:p w:rsidR="004A2ED9" w:rsidRPr="006A745F" w:rsidRDefault="004A2ED9" w:rsidP="004A2ED9">
      <w:pPr>
        <w:suppressAutoHyphens/>
        <w:ind w:left="5103"/>
        <w:jc w:val="both"/>
        <w:rPr>
          <w:rFonts w:ascii="Times New Roman" w:hAnsi="Times New Roman"/>
          <w:b/>
          <w:sz w:val="24"/>
          <w:szCs w:val="24"/>
        </w:rPr>
      </w:pPr>
      <w:r w:rsidRPr="006A745F">
        <w:rPr>
          <w:rFonts w:ascii="Times New Roman" w:hAnsi="Times New Roman"/>
          <w:b/>
          <w:sz w:val="24"/>
          <w:szCs w:val="24"/>
        </w:rPr>
        <w:t>ESTABELECE AS DIRETRIZES A SEREM OBSERVADAS NA ELABORAÇÃO DA LEI ORÇAMENTÁRIA DO MUNICÍPIO PARA O EXERCÍCIO DE 2021, E DÁ OUTRAS PROVIDÊNCIAS.</w:t>
      </w:r>
    </w:p>
    <w:p w:rsidR="004A2ED9" w:rsidRPr="006A745F" w:rsidRDefault="004A2ED9" w:rsidP="004A2ED9">
      <w:pPr>
        <w:suppressAutoHyphens/>
        <w:ind w:left="5103"/>
        <w:jc w:val="both"/>
        <w:rPr>
          <w:rFonts w:ascii="Times New Roman" w:hAnsi="Times New Roman"/>
          <w:b/>
          <w:sz w:val="24"/>
          <w:szCs w:val="24"/>
        </w:rPr>
      </w:pPr>
      <w:r w:rsidRPr="006A745F">
        <w:rPr>
          <w:rFonts w:ascii="Times New Roman" w:hAnsi="Times New Roman"/>
          <w:b/>
          <w:sz w:val="24"/>
          <w:szCs w:val="24"/>
        </w:rPr>
        <w:t>Autor: Poder Executivo</w:t>
      </w:r>
    </w:p>
    <w:p w:rsidR="004A2ED9" w:rsidRPr="006A745F" w:rsidRDefault="004A2ED9" w:rsidP="004A2ED9">
      <w:pPr>
        <w:suppressAutoHyphens/>
        <w:ind w:firstLine="3118"/>
        <w:jc w:val="both"/>
        <w:rPr>
          <w:rFonts w:ascii="Times New Roman" w:hAnsi="Times New Roman"/>
          <w:b/>
          <w:sz w:val="24"/>
          <w:szCs w:val="24"/>
        </w:rPr>
      </w:pPr>
    </w:p>
    <w:p w:rsidR="004A2ED9" w:rsidRPr="006A745F" w:rsidRDefault="004A2ED9" w:rsidP="006A745F">
      <w:pPr>
        <w:suppressAutoHyphens/>
        <w:jc w:val="both"/>
        <w:rPr>
          <w:rFonts w:ascii="Times New Roman" w:hAnsi="Times New Roman"/>
          <w:b/>
          <w:sz w:val="24"/>
          <w:szCs w:val="24"/>
        </w:rPr>
      </w:pPr>
      <w:r w:rsidRPr="006A745F">
        <w:rPr>
          <w:rFonts w:ascii="Times New Roman" w:hAnsi="Times New Roman"/>
          <w:sz w:val="24"/>
          <w:szCs w:val="24"/>
        </w:rPr>
        <w:t>A Câmara Municipal de Pouso Alegre aprova e o Chefe do Poder Executivo sanciona e promulga a seguinte Lei:</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CAPÍTULO I</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DISPOSIÇÃO PRELIMINAR</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1º</w:t>
      </w:r>
      <w:r w:rsidR="004A2ED9" w:rsidRPr="006A745F">
        <w:rPr>
          <w:rFonts w:ascii="Times New Roman" w:hAnsi="Times New Roman"/>
          <w:sz w:val="24"/>
          <w:szCs w:val="24"/>
        </w:rPr>
        <w:t xml:space="preserve"> Esta Lei estabelece as metas e prioridades da Administração Municipal para o exercício de 2021, orienta a elaboração da respectiva Lei Orçamentária e dispõe sobre as alterações na legislação tributária, observando-se a diretriz estabelecida em lei.</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CAPÍTULO II</w:t>
      </w:r>
    </w:p>
    <w:p w:rsidR="004A2ED9" w:rsidRPr="006A745F" w:rsidRDefault="004A2ED9" w:rsidP="004A2ED9">
      <w:pPr>
        <w:suppressAutoHyphens/>
        <w:jc w:val="center"/>
        <w:rPr>
          <w:rFonts w:ascii="Times New Roman" w:hAnsi="Times New Roman"/>
          <w:sz w:val="24"/>
          <w:szCs w:val="24"/>
        </w:rPr>
      </w:pPr>
      <w:r w:rsidRPr="006A745F">
        <w:rPr>
          <w:rFonts w:ascii="Times New Roman" w:hAnsi="Times New Roman"/>
          <w:b/>
          <w:sz w:val="24"/>
          <w:szCs w:val="24"/>
        </w:rPr>
        <w:t>DAS PRIORIDADES E DAS METAS DA ADMINISTRAÇÃO PÚBLICA MUNICIPAL</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2º</w:t>
      </w:r>
      <w:r w:rsidR="004A2ED9" w:rsidRPr="006A745F">
        <w:rPr>
          <w:rFonts w:ascii="Times New Roman" w:hAnsi="Times New Roman"/>
          <w:sz w:val="24"/>
          <w:szCs w:val="24"/>
        </w:rPr>
        <w:t xml:space="preserve"> As metas de resultados do Município para o exercício de 2021 são as estabelecidas através do Anexo de Riscos Fiscais e Metas Fiscais, integrantes desta Lei, desdobrados em:</w:t>
      </w:r>
    </w:p>
    <w:p w:rsidR="004A2ED9" w:rsidRPr="006A745F" w:rsidRDefault="004A2ED9" w:rsidP="004A2ED9">
      <w:pPr>
        <w:suppressAutoHyphens/>
        <w:jc w:val="both"/>
        <w:rPr>
          <w:rFonts w:ascii="Times New Roman" w:hAnsi="Times New Roman"/>
          <w:b/>
          <w:color w:val="FF0000"/>
          <w:sz w:val="24"/>
          <w:szCs w:val="24"/>
        </w:rPr>
      </w:pPr>
      <w:r w:rsidRPr="006A745F">
        <w:rPr>
          <w:rFonts w:ascii="Times New Roman" w:hAnsi="Times New Roman"/>
          <w:b/>
          <w:sz w:val="24"/>
          <w:szCs w:val="24"/>
        </w:rPr>
        <w:t>1- Anexo de Riscos Fiscais.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1.1 - Demonstrativo de Riscos Fiscais e Providências.</w:t>
      </w:r>
      <w:r w:rsidRPr="006A745F">
        <w:rPr>
          <w:rFonts w:ascii="Times New Roman" w:hAnsi="Times New Roman"/>
          <w:sz w:val="24"/>
          <w:szCs w:val="24"/>
        </w:rPr>
        <w:tab/>
      </w:r>
    </w:p>
    <w:p w:rsidR="004A2ED9" w:rsidRPr="006A745F" w:rsidRDefault="004A2ED9" w:rsidP="004A2ED9">
      <w:pPr>
        <w:suppressAutoHyphens/>
        <w:rPr>
          <w:rFonts w:ascii="Times New Roman" w:hAnsi="Times New Roman"/>
          <w:b/>
          <w:sz w:val="24"/>
          <w:szCs w:val="24"/>
        </w:rPr>
      </w:pPr>
      <w:r w:rsidRPr="006A745F">
        <w:rPr>
          <w:rFonts w:ascii="Times New Roman" w:hAnsi="Times New Roman"/>
          <w:b/>
          <w:sz w:val="24"/>
          <w:szCs w:val="24"/>
        </w:rPr>
        <w:t>2 - Metas Fiscais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2.1 - Metas Anuais;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lastRenderedPageBreak/>
        <w:t>2.2 - Avaliação do Cumprimento das Metas Fiscais do Exercício Anterior;</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2.3 - Metas Fiscais Atuais Comparadas com as Fixadas no três Exercícios Anteriores;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2.4 - Evolução do Patrimônio Líquido;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2.5 - Origem e Aplicação dos Recursos Obtidos com a Alienação de Ativos;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2.6 - Avaliação e Situação Financeira e Atuarial do Regime Próprio de Previdência Social dos Servidores;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2.7 - Estimativa e Compensação de Renúncia de Receita;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2.8 - Margem de Expansão das Despesas Obrigatórias de Caráter Continuado;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2.9 – Metodologia e memória de cálculo de metas anuais.</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3º</w:t>
      </w:r>
      <w:r w:rsidR="004A2ED9" w:rsidRPr="006A745F">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Parágrafo único. </w:t>
      </w:r>
      <w:r w:rsidRPr="006A745F">
        <w:rPr>
          <w:rFonts w:ascii="Times New Roman" w:hAnsi="Times New Roman"/>
          <w:sz w:val="24"/>
          <w:szCs w:val="24"/>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CAPÍTULO III</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DAS DIRETRIZES PARA A ELABORAÇÃO E PARA A EXECUÇÃO DOS ORÇAMENTOS DO MUNICÍPIO E SUAS ALTERAÇÕES</w:t>
      </w:r>
    </w:p>
    <w:p w:rsidR="004A2ED9" w:rsidRPr="006A745F" w:rsidRDefault="006A745F" w:rsidP="004A2ED9">
      <w:pPr>
        <w:jc w:val="both"/>
        <w:rPr>
          <w:rFonts w:ascii="Times New Roman" w:hAnsi="Times New Roman"/>
          <w:sz w:val="24"/>
          <w:szCs w:val="24"/>
        </w:rPr>
      </w:pPr>
      <w:r>
        <w:rPr>
          <w:rFonts w:ascii="Times New Roman" w:hAnsi="Times New Roman"/>
          <w:b/>
          <w:sz w:val="24"/>
          <w:szCs w:val="24"/>
        </w:rPr>
        <w:t>Art. 4º</w:t>
      </w:r>
      <w:r w:rsidR="004A2ED9" w:rsidRPr="006A745F">
        <w:rPr>
          <w:rFonts w:ascii="Times New Roman" w:hAnsi="Times New Roman"/>
          <w:b/>
          <w:sz w:val="24"/>
          <w:szCs w:val="24"/>
        </w:rPr>
        <w:t xml:space="preserve"> </w:t>
      </w:r>
      <w:r w:rsidR="004A2ED9" w:rsidRPr="006A745F">
        <w:rPr>
          <w:rFonts w:ascii="Times New Roman" w:hAnsi="Times New Roman"/>
          <w:color w:val="000000"/>
          <w:sz w:val="24"/>
          <w:szCs w:val="24"/>
        </w:rPr>
        <w:t>O Projeto de Lei Orçamentária para o exercício de 2021 será elaborado em observância às determinações da Constituição Federal, da Lei Orgânica Municipal, da Lei Federal nº 4.320, de 1964 e suas alterações, da Lei Complementar Federal nº 101, de 2000 e suas alterações, das Portarias e demais atos dos órgãos competentes do Governo Federal, das determinações colacionadas pelo TCE/MG e do disposto nesta Lei.</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As informações gerenciais e as fontes financeiras agregadas aos créditos orçamentários serão ajustadas diretamente pelos órgãos contábeis do Poder Executivo e do Poder Legislativo para atender às necessidades da execução orçamentária.</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5º</w:t>
      </w:r>
      <w:r w:rsidR="004A2ED9" w:rsidRPr="006A745F">
        <w:rPr>
          <w:rFonts w:ascii="Times New Roman" w:hAnsi="Times New Roman"/>
          <w:sz w:val="24"/>
          <w:szCs w:val="24"/>
        </w:rPr>
        <w:t xml:space="preserve"> O projeto de lei orçamentária do Município de Pouso Alegre, relativo ao exercício de 2021, deverá assegurar os princípios de justiça social, inclusive tributária, de controle social, de transparência e de capacidade contributiva na elaboração e execução do orçamento.</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6º</w:t>
      </w:r>
      <w:r w:rsidR="004A2ED9" w:rsidRPr="006A745F">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w:t>
      </w:r>
      <w:r w:rsidR="004A2ED9" w:rsidRPr="006A745F">
        <w:rPr>
          <w:rFonts w:ascii="Times New Roman" w:hAnsi="Times New Roman"/>
          <w:sz w:val="24"/>
          <w:szCs w:val="24"/>
        </w:rPr>
        <w:lastRenderedPageBreak/>
        <w:t>da Lei Orgânica, os estudos e estimativas das receitas para o exercício de 2021, inclusive da receita corrente líquida, acompanhados das respectivas memórias de cálculo.</w:t>
      </w:r>
    </w:p>
    <w:p w:rsidR="004A2ED9" w:rsidRPr="006A745F" w:rsidRDefault="006A745F" w:rsidP="004A2ED9">
      <w:pPr>
        <w:suppressAutoHyphens/>
        <w:jc w:val="both"/>
        <w:rPr>
          <w:rFonts w:ascii="Times New Roman" w:hAnsi="Times New Roman"/>
          <w:color w:val="FF0000"/>
          <w:sz w:val="24"/>
          <w:szCs w:val="24"/>
        </w:rPr>
      </w:pPr>
      <w:r>
        <w:rPr>
          <w:rFonts w:ascii="Times New Roman" w:hAnsi="Times New Roman"/>
          <w:b/>
          <w:sz w:val="24"/>
          <w:szCs w:val="24"/>
        </w:rPr>
        <w:t>Art. 7º</w:t>
      </w:r>
      <w:r w:rsidR="004A2ED9" w:rsidRPr="006A745F">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São vedados aos ordenadores de despesa quaisquer procedimentos que viabilizem a execução de despesas sem suficiente disponibilidade de dotação orçamentária.</w:t>
      </w:r>
    </w:p>
    <w:p w:rsidR="004A2ED9" w:rsidRPr="006A745F" w:rsidRDefault="006A745F" w:rsidP="004A2ED9">
      <w:pPr>
        <w:autoSpaceDE w:val="0"/>
        <w:autoSpaceDN w:val="0"/>
        <w:adjustRightInd w:val="0"/>
        <w:jc w:val="both"/>
        <w:rPr>
          <w:rFonts w:ascii="Times New Roman" w:hAnsi="Times New Roman"/>
          <w:sz w:val="24"/>
          <w:szCs w:val="24"/>
        </w:rPr>
      </w:pPr>
      <w:r>
        <w:rPr>
          <w:rFonts w:ascii="Times New Roman" w:hAnsi="Times New Roman"/>
          <w:b/>
          <w:bCs/>
          <w:sz w:val="24"/>
          <w:szCs w:val="24"/>
        </w:rPr>
        <w:t>§ 2º</w:t>
      </w:r>
      <w:r w:rsidR="004A2ED9" w:rsidRPr="006A745F">
        <w:rPr>
          <w:rFonts w:ascii="Times New Roman" w:hAnsi="Times New Roman"/>
          <w:sz w:val="24"/>
          <w:szCs w:val="24"/>
        </w:rPr>
        <w:t xml:space="preserve"> Para o exercício de 2021, em virtude da situação de calamidade em âmbito nacional, o valor da meta constante do anexo de metas fiscais constante desta Lei será ajustado em função da atualização das estimativas de receitas, a ser realizada no Projeto de Lei Orçamentária de 2021, na respectiva Lei, e, durante a sua execução.</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8º</w:t>
      </w:r>
      <w:r w:rsidR="004A2ED9" w:rsidRPr="006A745F">
        <w:rPr>
          <w:rFonts w:ascii="Times New Roman" w:hAnsi="Times New Roman"/>
          <w:sz w:val="24"/>
          <w:szCs w:val="24"/>
        </w:rPr>
        <w:t xml:space="preserve"> As categorias de programação de que trata esta Lei serão identificadas na Lei Orçamentária Anual e respeitarão as condições estabelecidas na Lei do Plano Plurianual 2018-2021 e serão transcritas na Lei O</w:t>
      </w:r>
      <w:r w:rsidRPr="006A745F">
        <w:rPr>
          <w:rFonts w:ascii="Times New Roman" w:hAnsi="Times New Roman"/>
          <w:sz w:val="24"/>
          <w:szCs w:val="24"/>
        </w:rPr>
        <w:t>rçamentária anual de 2021.</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Os Poderes Executivo e Legislativo </w:t>
      </w:r>
      <w:proofErr w:type="gramStart"/>
      <w:r w:rsidRPr="006A745F">
        <w:rPr>
          <w:rFonts w:ascii="Times New Roman" w:hAnsi="Times New Roman"/>
          <w:sz w:val="24"/>
          <w:szCs w:val="24"/>
        </w:rPr>
        <w:t>poderão, transferir</w:t>
      </w:r>
      <w:proofErr w:type="gramEnd"/>
      <w:r w:rsidRPr="006A745F">
        <w:rPr>
          <w:rFonts w:ascii="Times New Roman" w:hAnsi="Times New Roman"/>
          <w:sz w:val="24"/>
          <w:szCs w:val="24"/>
        </w:rPr>
        <w:t>, transpor e remanejar total ou parcialmente as dotações orçamentárias aprovadas na Lei Orçamentária de 2021, conforme alicerçado na Constituição Federal de 1988, em seu artigo 167.</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Art. 9º</w:t>
      </w:r>
      <w:r w:rsidR="004A2ED9" w:rsidRPr="006A745F">
        <w:rPr>
          <w:rFonts w:ascii="Times New Roman" w:hAnsi="Times New Roman"/>
          <w:b/>
          <w:sz w:val="24"/>
          <w:szCs w:val="24"/>
        </w:rPr>
        <w:t xml:space="preserve"> </w:t>
      </w:r>
      <w:r w:rsidR="004A2ED9" w:rsidRPr="006A745F">
        <w:rPr>
          <w:rFonts w:ascii="Times New Roman" w:hAnsi="Times New Roman"/>
          <w:sz w:val="24"/>
          <w:szCs w:val="24"/>
        </w:rPr>
        <w:t>A abertura de créditos suplementares e especiais dependerá de prévia autorização legislativa e da existência de recursos disponíveis para cobrir a despesa, nos termos da Lei nº 4.320/1964 e da Constituição da República.</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b/>
          <w:sz w:val="24"/>
          <w:szCs w:val="24"/>
        </w:rPr>
        <w:t xml:space="preserve"> </w:t>
      </w:r>
      <w:r w:rsidR="004A2ED9" w:rsidRPr="006A745F">
        <w:rPr>
          <w:rFonts w:ascii="Times New Roman" w:hAnsi="Times New Roman"/>
          <w:sz w:val="24"/>
          <w:szCs w:val="24"/>
        </w:rPr>
        <w:t>Os Poderes Executivo e Legislativo estão autorizados a abrir créditos suplementares nos termos da Lei 4.320/64, até o valor correspondente a 30% (trinta por cento) do montante previsto em Lei.</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2º</w:t>
      </w:r>
      <w:r w:rsidR="004A2ED9" w:rsidRPr="006A745F">
        <w:rPr>
          <w:rFonts w:ascii="Times New Roman" w:hAnsi="Times New Roman"/>
          <w:b/>
          <w:sz w:val="24"/>
          <w:szCs w:val="24"/>
        </w:rPr>
        <w:t xml:space="preserve"> </w:t>
      </w:r>
      <w:r w:rsidR="004A2ED9" w:rsidRPr="006A745F">
        <w:rPr>
          <w:rFonts w:ascii="Times New Roman" w:hAnsi="Times New Roman"/>
          <w:sz w:val="24"/>
          <w:szCs w:val="24"/>
        </w:rPr>
        <w:t>Os Poderes Executivo e Legislativo estão autorizados a realizar transferência, remanejamento e transposição total ou parcial das dotações orçamentárias aprovadas na Lei Orçamentária de 2021 até o valor correspondente a 30% (trinta por cento), conforme alicerçado na Constituição Federal de 1988, em seu artigo 167;</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 </w:t>
      </w:r>
      <w:r w:rsidR="006A745F">
        <w:rPr>
          <w:rFonts w:ascii="Times New Roman" w:hAnsi="Times New Roman"/>
          <w:b/>
          <w:sz w:val="24"/>
          <w:szCs w:val="24"/>
        </w:rPr>
        <w:t>3º</w:t>
      </w:r>
      <w:r w:rsidRPr="006A745F">
        <w:rPr>
          <w:rFonts w:ascii="Times New Roman" w:hAnsi="Times New Roman"/>
          <w:sz w:val="24"/>
          <w:szCs w:val="24"/>
        </w:rPr>
        <w:t xml:space="preserve"> Acompanharão os projetos de lei relativos a créditos especiais exposições de motivos circunstanciadas que os justifiquem e que indiquem as consequências dos cancelamentos de dotações propostos. </w:t>
      </w:r>
      <w:r w:rsidRPr="006A745F">
        <w:rPr>
          <w:rFonts w:ascii="Times New Roman" w:hAnsi="Times New Roman"/>
          <w:sz w:val="24"/>
          <w:szCs w:val="24"/>
        </w:rPr>
        <w:tab/>
      </w:r>
    </w:p>
    <w:p w:rsidR="004A2ED9" w:rsidRPr="006A745F" w:rsidRDefault="006A745F" w:rsidP="004A2ED9">
      <w:pPr>
        <w:suppressAutoHyphens/>
        <w:jc w:val="both"/>
        <w:rPr>
          <w:rFonts w:ascii="Times New Roman" w:hAnsi="Times New Roman"/>
          <w:sz w:val="24"/>
          <w:szCs w:val="24"/>
        </w:rPr>
      </w:pPr>
      <w:r>
        <w:rPr>
          <w:rFonts w:ascii="Times New Roman" w:hAnsi="Times New Roman"/>
          <w:b/>
          <w:bCs/>
          <w:sz w:val="24"/>
          <w:szCs w:val="24"/>
        </w:rPr>
        <w:t>§ 4º</w:t>
      </w:r>
      <w:r w:rsidR="004A2ED9" w:rsidRPr="006A745F">
        <w:rPr>
          <w:rFonts w:ascii="Times New Roman" w:hAnsi="Times New Roman"/>
          <w:sz w:val="24"/>
          <w:szCs w:val="24"/>
        </w:rPr>
        <w:t xml:space="preserve"> Os Poderes Executivo e Legislativo poderão criar dentro da mesma classificação institucional, funcional e programática elementos de despesa e fontes de recursos.</w:t>
      </w:r>
    </w:p>
    <w:p w:rsidR="004A2ED9" w:rsidRPr="006A745F" w:rsidRDefault="006A745F" w:rsidP="004A2ED9">
      <w:pPr>
        <w:jc w:val="both"/>
        <w:rPr>
          <w:rFonts w:ascii="Times New Roman" w:hAnsi="Times New Roman"/>
          <w:sz w:val="24"/>
          <w:szCs w:val="24"/>
        </w:rPr>
      </w:pPr>
      <w:r>
        <w:rPr>
          <w:rFonts w:ascii="Times New Roman" w:hAnsi="Times New Roman"/>
          <w:b/>
          <w:bCs/>
          <w:sz w:val="24"/>
          <w:szCs w:val="24"/>
        </w:rPr>
        <w:t>§ 5º</w:t>
      </w:r>
      <w:r w:rsidR="004A2ED9" w:rsidRPr="006A745F">
        <w:rPr>
          <w:rFonts w:ascii="Times New Roman" w:hAnsi="Times New Roman"/>
          <w:b/>
          <w:bCs/>
          <w:sz w:val="24"/>
          <w:szCs w:val="24"/>
        </w:rPr>
        <w:t xml:space="preserve"> </w:t>
      </w:r>
      <w:r w:rsidR="004A2ED9" w:rsidRPr="006A745F">
        <w:rPr>
          <w:rFonts w:ascii="Times New Roman" w:hAnsi="Times New Roman"/>
          <w:color w:val="000000"/>
          <w:sz w:val="24"/>
          <w:szCs w:val="24"/>
        </w:rPr>
        <w:t xml:space="preserve">Fica o </w:t>
      </w:r>
      <w:r w:rsidR="004A2ED9" w:rsidRPr="006A745F">
        <w:rPr>
          <w:rFonts w:ascii="Times New Roman" w:hAnsi="Times New Roman"/>
          <w:sz w:val="24"/>
          <w:szCs w:val="24"/>
        </w:rPr>
        <w:t xml:space="preserve">Poder Executivo autorizado a alterar, mediante decreto, as fontes e a destinação de recursos da receita orçamentária, as codificações e as nomenclaturas das naturezas de receitas, os códigos e as descrições das modalidades de aplicação, dos grupos de natureza de despesa, das funcionais programáticas </w:t>
      </w:r>
      <w:r w:rsidR="004A2ED9" w:rsidRPr="006A745F">
        <w:rPr>
          <w:rFonts w:ascii="Times New Roman" w:hAnsi="Times New Roman"/>
          <w:sz w:val="24"/>
          <w:szCs w:val="24"/>
        </w:rPr>
        <w:lastRenderedPageBreak/>
        <w:t>e unidades orçamentárias constantes da Lei Orçamentária para o exercício de 2021 e em seus créditos adicionais, para</w:t>
      </w:r>
      <w:r w:rsidR="004A2ED9" w:rsidRPr="006A745F">
        <w:rPr>
          <w:rFonts w:ascii="Times New Roman" w:hAnsi="Times New Roman"/>
          <w:color w:val="000000"/>
          <w:sz w:val="24"/>
          <w:szCs w:val="24"/>
        </w:rPr>
        <w:t xml:space="preserve"> fins de correção de erros materiais.</w:t>
      </w:r>
    </w:p>
    <w:p w:rsidR="004A2ED9" w:rsidRPr="006A745F" w:rsidRDefault="004A2ED9" w:rsidP="006A745F">
      <w:pPr>
        <w:suppressAutoHyphens/>
        <w:jc w:val="both"/>
        <w:rPr>
          <w:rFonts w:ascii="Times New Roman" w:hAnsi="Times New Roman"/>
          <w:color w:val="FF0000"/>
          <w:sz w:val="24"/>
          <w:szCs w:val="24"/>
        </w:rPr>
      </w:pPr>
      <w:r w:rsidRPr="006A745F">
        <w:rPr>
          <w:rFonts w:ascii="Times New Roman" w:hAnsi="Times New Roman"/>
          <w:b/>
          <w:sz w:val="24"/>
          <w:szCs w:val="24"/>
        </w:rPr>
        <w:t>Art. 10</w:t>
      </w:r>
      <w:r w:rsidRPr="006A745F">
        <w:rPr>
          <w:rFonts w:ascii="Times New Roman" w:hAnsi="Times New Roman"/>
          <w:sz w:val="24"/>
          <w:szCs w:val="24"/>
        </w:rPr>
        <w:t>. Fica o Poder Executivo autorizado a criar grupo de natureza de despesa e fonte de recursos, dentro de cada projeto, atividade ou operação especial, para atender às suas peculiaridades, mediante decreto.</w:t>
      </w:r>
    </w:p>
    <w:p w:rsidR="004A2ED9" w:rsidRPr="006A745F" w:rsidRDefault="004A2ED9" w:rsidP="004A2ED9">
      <w:pPr>
        <w:jc w:val="both"/>
        <w:rPr>
          <w:rFonts w:ascii="Times New Roman" w:hAnsi="Times New Roman"/>
          <w:sz w:val="24"/>
          <w:szCs w:val="24"/>
        </w:rPr>
      </w:pPr>
      <w:r w:rsidRPr="006A745F">
        <w:rPr>
          <w:rFonts w:ascii="Times New Roman" w:hAnsi="Times New Roman"/>
          <w:b/>
          <w:bCs/>
          <w:sz w:val="24"/>
          <w:szCs w:val="24"/>
        </w:rPr>
        <w:t>§ 1º</w:t>
      </w:r>
      <w:r w:rsidRPr="006A745F">
        <w:rPr>
          <w:rFonts w:ascii="Times New Roman" w:hAnsi="Times New Roman"/>
          <w:sz w:val="24"/>
          <w:szCs w:val="24"/>
        </w:rPr>
        <w:t xml:space="preserve"> A criação de grupo de natureza de despesa e de fonte de recursos somente poderá ocorrer a partir da anulação, total ou parcial, de outros, dentro da mesma ação e com mesma fonte, excetuando as fontes originadas do </w:t>
      </w:r>
      <w:proofErr w:type="spellStart"/>
      <w:r w:rsidRPr="006A745F">
        <w:rPr>
          <w:rFonts w:ascii="Times New Roman" w:hAnsi="Times New Roman"/>
          <w:sz w:val="24"/>
          <w:szCs w:val="24"/>
        </w:rPr>
        <w:t>Fundeb</w:t>
      </w:r>
      <w:proofErr w:type="spellEnd"/>
      <w:r w:rsidRPr="006A745F">
        <w:rPr>
          <w:rFonts w:ascii="Times New Roman" w:hAnsi="Times New Roman"/>
          <w:sz w:val="24"/>
          <w:szCs w:val="24"/>
        </w:rPr>
        <w:t xml:space="preserve"> (118, 218, 119 e 219) e das aplicações constitucionais em educação e saúde (101, 201, 102 e 202) conjugadas com as 100 e 200.</w:t>
      </w:r>
    </w:p>
    <w:p w:rsidR="004A2ED9" w:rsidRPr="006A745F" w:rsidRDefault="006A745F" w:rsidP="004A2ED9">
      <w:pPr>
        <w:jc w:val="both"/>
        <w:rPr>
          <w:rFonts w:ascii="Times New Roman" w:hAnsi="Times New Roman"/>
          <w:sz w:val="24"/>
          <w:szCs w:val="24"/>
        </w:rPr>
      </w:pPr>
      <w:r>
        <w:rPr>
          <w:rFonts w:ascii="Times New Roman" w:hAnsi="Times New Roman"/>
          <w:b/>
          <w:bCs/>
          <w:sz w:val="24"/>
          <w:szCs w:val="24"/>
        </w:rPr>
        <w:t>§ 2º</w:t>
      </w:r>
      <w:r w:rsidR="004A2ED9" w:rsidRPr="006A745F">
        <w:rPr>
          <w:rFonts w:ascii="Times New Roman" w:hAnsi="Times New Roman"/>
          <w:sz w:val="24"/>
          <w:szCs w:val="24"/>
        </w:rPr>
        <w:t xml:space="preserve"> Fonte de recurso poderá, também, ser criada a partir da apuração de excesso de arrecadação com vinculação específica, para a qual não tenha sido verificada previsão inicial.</w:t>
      </w:r>
    </w:p>
    <w:p w:rsidR="004A2ED9" w:rsidRPr="006A745F" w:rsidRDefault="006A745F" w:rsidP="004A2ED9">
      <w:pPr>
        <w:jc w:val="both"/>
        <w:rPr>
          <w:rFonts w:ascii="Times New Roman" w:hAnsi="Times New Roman"/>
          <w:sz w:val="24"/>
          <w:szCs w:val="24"/>
        </w:rPr>
      </w:pPr>
      <w:r>
        <w:rPr>
          <w:rFonts w:ascii="Times New Roman" w:hAnsi="Times New Roman"/>
          <w:b/>
          <w:bCs/>
          <w:color w:val="000000"/>
          <w:sz w:val="24"/>
          <w:szCs w:val="24"/>
        </w:rPr>
        <w:t>§ 3º</w:t>
      </w:r>
      <w:r w:rsidR="004A2ED9" w:rsidRPr="006A745F">
        <w:rPr>
          <w:rFonts w:ascii="Times New Roman" w:hAnsi="Times New Roman"/>
          <w:color w:val="000000"/>
          <w:sz w:val="24"/>
          <w:szCs w:val="24"/>
        </w:rPr>
        <w:t xml:space="preserve"> A reabertura dos créditos especiais e extraordinários, autorizados nos últimos 4 (quatro) meses do exercício, conforme disposto no § 2º do artigo 167 da Constituição Federal, será efetivada mediante decreto, nos limites de seus saldos.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11.</w:t>
      </w:r>
      <w:r w:rsidRPr="006A745F">
        <w:rPr>
          <w:rFonts w:ascii="Times New Roman" w:hAnsi="Times New Roman"/>
          <w:sz w:val="24"/>
          <w:szCs w:val="24"/>
        </w:rPr>
        <w:t xml:space="preserve"> A reabertura dos créditos especiais e extraordinários, conforme disposto no art. 167, § 2º, da Constituição Federal, será efetivada mediante decreto do Prefeito Municipal, utilizando os recursos previstos no art. 43 da Lei nº 4.320/1964.</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bCs/>
          <w:sz w:val="24"/>
          <w:szCs w:val="24"/>
        </w:rPr>
        <w:t>Parágrafo único</w:t>
      </w:r>
      <w:r w:rsidRPr="006A745F">
        <w:rPr>
          <w:rFonts w:ascii="Times New Roman" w:hAnsi="Times New Roman"/>
          <w:sz w:val="24"/>
          <w:szCs w:val="24"/>
        </w:rPr>
        <w:t>. As modificações de que trata o caput serão efetivadas por ato do Chefe do Executivo e devidamente justificadas.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12.</w:t>
      </w:r>
      <w:r w:rsidRPr="006A745F">
        <w:rPr>
          <w:rFonts w:ascii="Times New Roman" w:hAnsi="Times New Roman"/>
          <w:sz w:val="24"/>
          <w:szCs w:val="24"/>
        </w:rPr>
        <w:t xml:space="preserve"> Fica o Executivo autorizado a realizar, no curso da execução orçamentária, operações de crédito nas espécies, limites e condições estabelecidas em Resolução do Senado Federal pertinente, especialmente na Lei Complementar nº 101, de 04 de maio de 2000.</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13.</w:t>
      </w:r>
      <w:r w:rsidRPr="006A745F">
        <w:rPr>
          <w:rFonts w:ascii="Times New Roman" w:hAnsi="Times New Roman"/>
          <w:sz w:val="24"/>
          <w:szCs w:val="24"/>
        </w:rPr>
        <w:t xml:space="preserve"> A lei orçamentária não consignará recursos para início de novos projetos se não estiverem adequadamente atendidos os em andamento e contempladas as despesas de conservação do patrimônio público.</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A regra constante do caput deste artigo aplica-se no âmbito de cada fonte de recurso, conforme vinculações legalmente estabelecidas.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2º</w:t>
      </w:r>
      <w:r w:rsidRPr="006A745F">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Art. 14. </w:t>
      </w:r>
      <w:r w:rsidRPr="006A745F">
        <w:rPr>
          <w:rFonts w:ascii="Times New Roman" w:hAnsi="Times New Roman"/>
          <w:sz w:val="24"/>
          <w:szCs w:val="24"/>
        </w:rPr>
        <w:t>A lei orçamentária conterá reserva de contingência para atender passivos contingentes e outros riscos e eventos fiscais imprevistos e demais créditos adicionais.</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A reserva de contingência constituída exclusivamente com recursos do orçamento fiscal será equivalente a até 0,5% (meio por cento) da receita corrente líquida, prevista na proposta orçamentária de 2021.</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lastRenderedPageBreak/>
        <w:t>§ 2º</w:t>
      </w:r>
      <w:r w:rsidR="004A2ED9" w:rsidRPr="006A745F">
        <w:rPr>
          <w:rFonts w:ascii="Times New Roman" w:hAnsi="Times New Roman"/>
          <w:b/>
          <w:sz w:val="24"/>
          <w:szCs w:val="24"/>
        </w:rPr>
        <w:t xml:space="preserve"> </w:t>
      </w:r>
      <w:r w:rsidR="004A2ED9" w:rsidRPr="006A745F">
        <w:rPr>
          <w:rFonts w:ascii="Times New Roman" w:hAnsi="Times New Roman"/>
          <w:sz w:val="24"/>
          <w:szCs w:val="24"/>
        </w:rPr>
        <w:t>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15.</w:t>
      </w:r>
      <w:r w:rsidRPr="006A745F">
        <w:rPr>
          <w:rFonts w:ascii="Times New Roman" w:hAnsi="Times New Roman"/>
          <w:sz w:val="24"/>
          <w:szCs w:val="24"/>
        </w:rPr>
        <w:t xml:space="preserve">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16.</w:t>
      </w:r>
      <w:r w:rsidRPr="006A745F">
        <w:rPr>
          <w:rFonts w:ascii="Times New Roman" w:hAnsi="Times New Roman"/>
          <w:sz w:val="24"/>
          <w:szCs w:val="24"/>
        </w:rPr>
        <w:t xml:space="preserve"> O Poder Executivo estabelecerá por ato próprio, até 30 (trinta) dias após a publicação da lei orçamentária de 2021, as metas bimestrais de arrecadação, a programação financeira e o cronograma de execução mensal de desembolso, respectivamente, nos termos dos art. 8º e 13 da Lei Complementar nº 101/2000.</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Para atender ao caput deste artigo, os órgãos da administração indireta do Poder Executivo e o Poder Legislativo encaminharão ao Departamento de Contabilidade do Município, até 15 (quinze) dias após a publicação da lei orçamentária de 2021, os seguintes demonstrativos: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as</w:t>
      </w:r>
      <w:proofErr w:type="gramEnd"/>
      <w:r w:rsidRPr="006A745F">
        <w:rPr>
          <w:rFonts w:ascii="Times New Roman" w:hAnsi="Times New Roman"/>
          <w:sz w:val="24"/>
          <w:szCs w:val="24"/>
        </w:rPr>
        <w:t xml:space="preserve"> metas mensais de arrecadação de receitas, de forma a atender o disposto no art. 13 da Lei Complementar nº 101/2000;</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a</w:t>
      </w:r>
      <w:proofErr w:type="gramEnd"/>
      <w:r w:rsidRPr="006A745F">
        <w:rPr>
          <w:rFonts w:ascii="Times New Roman" w:hAnsi="Times New Roman"/>
          <w:sz w:val="24"/>
          <w:szCs w:val="24"/>
        </w:rPr>
        <w:t xml:space="preserve"> programação financeira das despesas, nos termos do art. 8º da Lei Complementar nº 101/2000;</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III – o cronograma mensal de desembolso, incluídos os pagamentos dos restos a pagar, nos termos do art. 8º da Lei Complementar nº 101/2000.</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2º</w:t>
      </w:r>
      <w:r w:rsidR="004A2ED9" w:rsidRPr="006A745F">
        <w:rPr>
          <w:rFonts w:ascii="Times New Roman" w:hAnsi="Times New Roman"/>
          <w:sz w:val="24"/>
          <w:szCs w:val="24"/>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2021.</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 3º </w:t>
      </w:r>
      <w:r w:rsidRPr="006A745F">
        <w:rPr>
          <w:rFonts w:ascii="Times New Roman" w:hAnsi="Times New Roman"/>
          <w:sz w:val="24"/>
          <w:szCs w:val="24"/>
        </w:rPr>
        <w:t>A programação financeira e o cronograma mensal de desembolso de que trata o caput deste artigo deverão ser elaborados de forma a garantir o cumprimento da meta de resultado primário estabelecida nesta Lei.</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4º</w:t>
      </w:r>
      <w:r w:rsidR="004A2ED9" w:rsidRPr="006A745F">
        <w:rPr>
          <w:rFonts w:ascii="Times New Roman" w:hAnsi="Times New Roman"/>
          <w:sz w:val="24"/>
          <w:szCs w:val="24"/>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4A2ED9" w:rsidRPr="006A745F" w:rsidRDefault="006A745F" w:rsidP="004A2ED9">
      <w:pPr>
        <w:suppressAutoHyphens/>
        <w:jc w:val="both"/>
        <w:rPr>
          <w:rFonts w:ascii="Times New Roman" w:hAnsi="Times New Roman"/>
          <w:sz w:val="24"/>
          <w:szCs w:val="24"/>
        </w:rPr>
      </w:pPr>
      <w:r>
        <w:rPr>
          <w:rFonts w:ascii="Times New Roman" w:hAnsi="Times New Roman"/>
          <w:b/>
          <w:sz w:val="24"/>
          <w:szCs w:val="24"/>
        </w:rPr>
        <w:t>§ 5º</w:t>
      </w:r>
      <w:r w:rsidR="004A2ED9" w:rsidRPr="006A745F">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lastRenderedPageBreak/>
        <w:t>§ 6º</w:t>
      </w:r>
      <w:r w:rsidR="004A2ED9" w:rsidRPr="006A745F">
        <w:rPr>
          <w:rFonts w:ascii="Times New Roman" w:hAnsi="Times New Roman"/>
          <w:sz w:val="24"/>
          <w:szCs w:val="24"/>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7º</w:t>
      </w:r>
      <w:r w:rsidR="004A2ED9" w:rsidRPr="006A745F">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8º</w:t>
      </w:r>
      <w:r w:rsidR="004A2ED9" w:rsidRPr="006A745F">
        <w:rPr>
          <w:rFonts w:ascii="Times New Roman" w:hAnsi="Times New Roman"/>
          <w:sz w:val="24"/>
          <w:szCs w:val="24"/>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9º</w:t>
      </w:r>
      <w:r w:rsidR="004A2ED9" w:rsidRPr="006A745F">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17.</w:t>
      </w:r>
      <w:r w:rsidRPr="006A745F">
        <w:rPr>
          <w:rFonts w:ascii="Times New Roman" w:hAnsi="Times New Roman"/>
          <w:sz w:val="24"/>
          <w:szCs w:val="24"/>
        </w:rPr>
        <w:t xml:space="preserve"> Além da observância das metas e prioridades definidas nos termos do artigo 2º desta Lei, a Lei Orçamentária de 2021 e seus créditos adicionais, observado o disposto no art. 45 da Lei Complementar nº 101/2000, somente incluirão projetos novos se:</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estiverem</w:t>
      </w:r>
      <w:proofErr w:type="gramEnd"/>
      <w:r w:rsidRPr="006A745F">
        <w:rPr>
          <w:rFonts w:ascii="Times New Roman" w:hAnsi="Times New Roman"/>
          <w:sz w:val="24"/>
          <w:szCs w:val="24"/>
        </w:rPr>
        <w:t xml:space="preserve"> compatíveis com o Plano Plurianual de 2018-2021 e com as normas desta Lei;</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tiverem</w:t>
      </w:r>
      <w:proofErr w:type="gramEnd"/>
      <w:r w:rsidRPr="006A745F">
        <w:rPr>
          <w:rFonts w:ascii="Times New Roman" w:hAnsi="Times New Roman"/>
          <w:sz w:val="24"/>
          <w:szCs w:val="24"/>
        </w:rPr>
        <w:t xml:space="preserve"> sido adequadamente contemplados todos os projetos em andamento;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III – estiverem preservados os recursos necessários à conservação do patrimônio público;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IV – </w:t>
      </w:r>
      <w:proofErr w:type="gramStart"/>
      <w:r w:rsidRPr="006A745F">
        <w:rPr>
          <w:rFonts w:ascii="Times New Roman" w:hAnsi="Times New Roman"/>
          <w:sz w:val="24"/>
          <w:szCs w:val="24"/>
        </w:rPr>
        <w:t>os</w:t>
      </w:r>
      <w:proofErr w:type="gramEnd"/>
      <w:r w:rsidRPr="006A745F">
        <w:rPr>
          <w:rFonts w:ascii="Times New Roman" w:hAnsi="Times New Roman"/>
          <w:sz w:val="24"/>
          <w:szCs w:val="24"/>
        </w:rPr>
        <w:t xml:space="preserve"> recursos alocados destinarem-se a contrapartidas de recursos federais, estaduais ou de operações de crédito, com o objetivo de uma ação municipal.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Considera-se projeto em andamento para os efeitos desta Lei, aquele cuja execução iniciar-se até a data de encaminhamento da proposta orçamentária de 2021, cujo cronograma de execução ultrapasse o término do exercício de 2020.</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18.</w:t>
      </w:r>
      <w:r w:rsidRPr="006A745F">
        <w:rPr>
          <w:rFonts w:ascii="Times New Roman" w:hAnsi="Times New Roman"/>
          <w:sz w:val="24"/>
          <w:szCs w:val="24"/>
        </w:rPr>
        <w:t xml:space="preserve"> É vedada a inclusão, na lei orçamentária e em seus créditos adicionais, de dotação a título de subvenções sociais, ressalvadas as autorizadas mediante lei específica que sejam destinadas: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às</w:t>
      </w:r>
      <w:proofErr w:type="gramEnd"/>
      <w:r w:rsidRPr="006A745F">
        <w:rPr>
          <w:rFonts w:ascii="Times New Roman" w:hAnsi="Times New Roman"/>
          <w:sz w:val="24"/>
          <w:szCs w:val="24"/>
        </w:rPr>
        <w:t xml:space="preserve"> entidades que prestem atendimento direto ao público, de forma gratuita, nas áreas de assistência social, saúde, educação, esporte ou cultura;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às</w:t>
      </w:r>
      <w:proofErr w:type="gramEnd"/>
      <w:r w:rsidRPr="006A745F">
        <w:rPr>
          <w:rFonts w:ascii="Times New Roman" w:hAnsi="Times New Roman"/>
          <w:sz w:val="24"/>
          <w:szCs w:val="24"/>
        </w:rPr>
        <w:t xml:space="preserve"> entidades sem fins lucrativos que realizem atividades de natureza continuada;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III – às entidades que tenham sido declaradas por lei como sendo de utilidade pública.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Para habilitar-se ao recebimento de subvenções sociais, a entidade privada sem fins lucrativos deverá apresentar declaração de regular funcionamento, emitida no exercício de 2021 por, no </w:t>
      </w:r>
      <w:r w:rsidRPr="006A745F">
        <w:rPr>
          <w:rFonts w:ascii="Times New Roman" w:hAnsi="Times New Roman"/>
          <w:sz w:val="24"/>
          <w:szCs w:val="24"/>
        </w:rPr>
        <w:lastRenderedPageBreak/>
        <w:t>mínimo, uma autoridade local, e comprovante de regularidade do mandato de sua diretoria, sem prejuízo dos dispositivos constantes de lei específica.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19.</w:t>
      </w:r>
      <w:r w:rsidRPr="006A745F">
        <w:rPr>
          <w:rFonts w:ascii="Times New Roman" w:hAnsi="Times New Roman"/>
          <w:sz w:val="24"/>
          <w:szCs w:val="24"/>
        </w:rPr>
        <w:t xml:space="preserve"> É vedada a inclusão, na lei orçamentária e em seus créditos adicionais, de dotações a título de auxílios e contribuições para entidades públicas e/ou privadas ressalvadas as autorizadas mediante lei específica e desde que sejam:</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de</w:t>
      </w:r>
      <w:proofErr w:type="gramEnd"/>
      <w:r w:rsidRPr="006A745F">
        <w:rPr>
          <w:rFonts w:ascii="Times New Roman" w:hAnsi="Times New Roman"/>
          <w:sz w:val="24"/>
          <w:szCs w:val="24"/>
        </w:rPr>
        <w:t xml:space="preserve"> atendimento direto e gratuito ao público, voltadas para as ações relativas ao ensino, saúde, educação, esporte, cultura, assistência social, agropecuária e de proteção ao meio ambiente;</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associações</w:t>
      </w:r>
      <w:proofErr w:type="gramEnd"/>
      <w:r w:rsidRPr="006A745F">
        <w:rPr>
          <w:rFonts w:ascii="Times New Roman" w:hAnsi="Times New Roman"/>
          <w:sz w:val="24"/>
          <w:szCs w:val="24"/>
        </w:rPr>
        <w:t xml:space="preserve"> ou consórcios intermunicipais, constituídos exclusivamente por entes públicos, legalmente instituídos e signatários de contrato de gestão com a administração pública municipal e que participem da execução de programas municipais.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20.</w:t>
      </w:r>
      <w:r w:rsidRPr="006A745F">
        <w:rPr>
          <w:rFonts w:ascii="Times New Roman" w:hAnsi="Times New Roman"/>
          <w:sz w:val="24"/>
          <w:szCs w:val="24"/>
        </w:rPr>
        <w:t xml:space="preserve">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21.</w:t>
      </w:r>
      <w:r w:rsidRPr="006A745F">
        <w:rPr>
          <w:rFonts w:ascii="Times New Roman" w:hAnsi="Times New Roman"/>
          <w:sz w:val="24"/>
          <w:szCs w:val="24"/>
        </w:rP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22.</w:t>
      </w:r>
      <w:r w:rsidRPr="006A745F">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23.</w:t>
      </w:r>
      <w:r w:rsidRPr="006A745F">
        <w:rPr>
          <w:rFonts w:ascii="Times New Roman" w:hAnsi="Times New Roman"/>
          <w:sz w:val="24"/>
          <w:szCs w:val="24"/>
        </w:rPr>
        <w:t xml:space="preserve"> As transferências de recursos às entidades previstas nos </w:t>
      </w:r>
      <w:proofErr w:type="spellStart"/>
      <w:r w:rsidRPr="006A745F">
        <w:rPr>
          <w:rFonts w:ascii="Times New Roman" w:hAnsi="Times New Roman"/>
          <w:sz w:val="24"/>
          <w:szCs w:val="24"/>
        </w:rPr>
        <w:t>arts</w:t>
      </w:r>
      <w:proofErr w:type="spellEnd"/>
      <w:r w:rsidRPr="006A745F">
        <w:rPr>
          <w:rFonts w:ascii="Times New Roman" w:hAnsi="Times New Roman"/>
          <w:sz w:val="24"/>
          <w:szCs w:val="24"/>
        </w:rPr>
        <w:t>. 18</w:t>
      </w:r>
      <w:r w:rsidR="00CF180F">
        <w:rPr>
          <w:rFonts w:ascii="Times New Roman" w:hAnsi="Times New Roman"/>
          <w:sz w:val="24"/>
          <w:szCs w:val="24"/>
        </w:rPr>
        <w:t xml:space="preserve"> </w:t>
      </w:r>
      <w:r w:rsidRPr="006A745F">
        <w:rPr>
          <w:rFonts w:ascii="Times New Roman" w:hAnsi="Times New Roman"/>
          <w:sz w:val="24"/>
          <w:szCs w:val="24"/>
        </w:rPr>
        <w:t xml:space="preserve">e </w:t>
      </w:r>
      <w:r w:rsidR="00CF180F">
        <w:rPr>
          <w:rFonts w:ascii="Times New Roman" w:hAnsi="Times New Roman"/>
          <w:sz w:val="24"/>
          <w:szCs w:val="24"/>
        </w:rPr>
        <w:t>19</w:t>
      </w:r>
      <w:r w:rsidRPr="006A745F">
        <w:rPr>
          <w:rFonts w:ascii="Times New Roman" w:hAnsi="Times New Roman"/>
          <w:sz w:val="24"/>
          <w:szCs w:val="24"/>
        </w:rPr>
        <w:t xml:space="preserve"> deverão ser precedidas da aprovação de plano de trabalho e da celebração de convênio, devendo ser observadas na elaboração de tais instrumentos as exigências do art. 116 da Lei Federal nº 8.666/1993, ou de outra Lei que vier substituí-la ou alterá-la.</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Compete ao órgão concedente o acompanhamento da realização do plano de trabalho executado com recursos transferidos pelo Município.</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2º</w:t>
      </w:r>
      <w:r w:rsidR="004A2ED9" w:rsidRPr="006A745F">
        <w:rPr>
          <w:rFonts w:ascii="Times New Roman" w:hAnsi="Times New Roman"/>
          <w:sz w:val="24"/>
          <w:szCs w:val="24"/>
        </w:rPr>
        <w:t xml:space="preserve"> É vedada a celebração de convênio com entidade em situação irregular com o Município, em decorrência de transferência feita anteriormente.</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24.</w:t>
      </w:r>
      <w:r w:rsidRPr="006A745F">
        <w:rPr>
          <w:rFonts w:ascii="Times New Roman" w:hAnsi="Times New Roman"/>
          <w:sz w:val="24"/>
          <w:szCs w:val="24"/>
        </w:rPr>
        <w:t xml:space="preserve"> É vedada a destinação, na lei orçamentária e em seus créditos adicionais, de recursos para diretamente cobrir necessidades de pessoas físicas, ressalvadas as que atendam </w:t>
      </w:r>
      <w:proofErr w:type="spellStart"/>
      <w:r w:rsidRPr="006A745F">
        <w:rPr>
          <w:rFonts w:ascii="Times New Roman" w:hAnsi="Times New Roman"/>
          <w:sz w:val="24"/>
          <w:szCs w:val="24"/>
        </w:rPr>
        <w:t>as</w:t>
      </w:r>
      <w:proofErr w:type="spellEnd"/>
      <w:r w:rsidRPr="006A745F">
        <w:rPr>
          <w:rFonts w:ascii="Times New Roman" w:hAnsi="Times New Roman"/>
          <w:sz w:val="24"/>
          <w:szCs w:val="24"/>
        </w:rPr>
        <w:t xml:space="preserve"> exigências do art. 26 da Lei Complementar nº 101/2000 e sejam observadas as condições definidas na lei específica.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lastRenderedPageBreak/>
        <w:t>Parágrafo único.</w:t>
      </w:r>
      <w:r w:rsidRPr="006A745F">
        <w:rPr>
          <w:rFonts w:ascii="Times New Roman" w:hAnsi="Times New Roman"/>
          <w:sz w:val="24"/>
          <w:szCs w:val="24"/>
        </w:rPr>
        <w:t xml:space="preserve"> As normas do caput deste artigo não se aplicam a ajuda a pessoas físicas custeadas pelos recursos do Sistema Único de Saúde.</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25.</w:t>
      </w:r>
      <w:r w:rsidRPr="006A745F">
        <w:rPr>
          <w:rFonts w:ascii="Times New Roman" w:hAnsi="Times New Roman"/>
          <w:sz w:val="24"/>
          <w:szCs w:val="24"/>
        </w:rPr>
        <w:t xml:space="preserve">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Parágrafo único.</w:t>
      </w:r>
      <w:r w:rsidRPr="006A745F">
        <w:rPr>
          <w:rFonts w:ascii="Times New Roman" w:hAnsi="Times New Roman"/>
          <w:sz w:val="24"/>
          <w:szCs w:val="24"/>
        </w:rPr>
        <w:t xml:space="preserve"> O aumento da transferência de recursos financeiros de um órgão para outro somente poderá ocorrer mediante prévia autorização legislativa, conforme determina o art. 167, inciso VI da Constituição Federal.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26.</w:t>
      </w:r>
      <w:r w:rsidRPr="006A745F">
        <w:rPr>
          <w:rFonts w:ascii="Times New Roman" w:hAnsi="Times New Roman"/>
          <w:sz w:val="24"/>
          <w:szCs w:val="24"/>
        </w:rPr>
        <w:t xml:space="preserve"> Até o momento da publicação da Lei Orçamentária, se esta ocorrer depois de encerrado o exercício de 2020, ficam os Poderes Executivo e Legislativo autorizados a realizar despesas, observado o limite mensal de 1/12 (</w:t>
      </w:r>
      <w:proofErr w:type="gramStart"/>
      <w:r w:rsidRPr="006A745F">
        <w:rPr>
          <w:rFonts w:ascii="Times New Roman" w:hAnsi="Times New Roman"/>
          <w:sz w:val="24"/>
          <w:szCs w:val="24"/>
        </w:rPr>
        <w:t>um doze avos</w:t>
      </w:r>
      <w:proofErr w:type="gramEnd"/>
      <w:r w:rsidRPr="006A745F">
        <w:rPr>
          <w:rFonts w:ascii="Times New Roman" w:hAnsi="Times New Roman"/>
          <w:sz w:val="24"/>
          <w:szCs w:val="24"/>
        </w:rPr>
        <w:t>) do total da despesa fixada na proposta original encaminhada ao Poder Legislativo.</w:t>
      </w:r>
    </w:p>
    <w:p w:rsidR="004A2ED9" w:rsidRPr="006A745F" w:rsidRDefault="004A2ED9" w:rsidP="004A2ED9">
      <w:pPr>
        <w:suppressAutoHyphens/>
        <w:jc w:val="both"/>
        <w:rPr>
          <w:rFonts w:ascii="Times New Roman" w:hAnsi="Times New Roman"/>
          <w:sz w:val="24"/>
          <w:szCs w:val="24"/>
        </w:rPr>
      </w:pP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CAPÍTULO IV</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DAS DISPOSIÇÕES RELATIVAS ÀS DESPESAS COM PESSOAL E COM ENCARGOS SOCIAIS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27.</w:t>
      </w:r>
      <w:r w:rsidRPr="006A745F">
        <w:rPr>
          <w:rFonts w:ascii="Times New Roman" w:hAnsi="Times New Roman"/>
          <w:sz w:val="24"/>
          <w:szCs w:val="24"/>
        </w:rPr>
        <w:t xml:space="preserve"> Desde que não conflitante com a Lei Complementar 173/2020, artigo 8º, respeitados os limites e vedações previstos nos artigos 18, 19, 20 e 22, da Lei Complementar Federal nº 101/2000</w:t>
      </w:r>
      <w:r w:rsidR="005937D7">
        <w:rPr>
          <w:rFonts w:ascii="Times New Roman" w:hAnsi="Times New Roman"/>
          <w:sz w:val="24"/>
          <w:szCs w:val="24"/>
        </w:rPr>
        <w:t xml:space="preserve"> </w:t>
      </w:r>
      <w:r w:rsidRPr="006A745F">
        <w:rPr>
          <w:rFonts w:ascii="Times New Roman" w:hAnsi="Times New Roman"/>
          <w:sz w:val="24"/>
          <w:szCs w:val="24"/>
        </w:rPr>
        <w:t xml:space="preserve">e cumpridas às exigências previstas nos artigos 16 e 17 do referido diploma </w:t>
      </w:r>
      <w:proofErr w:type="spellStart"/>
      <w:proofErr w:type="gramStart"/>
      <w:r w:rsidRPr="006A745F">
        <w:rPr>
          <w:rFonts w:ascii="Times New Roman" w:hAnsi="Times New Roman"/>
          <w:sz w:val="24"/>
          <w:szCs w:val="24"/>
        </w:rPr>
        <w:t>legal,fica</w:t>
      </w:r>
      <w:proofErr w:type="spellEnd"/>
      <w:proofErr w:type="gramEnd"/>
      <w:r w:rsidRPr="006A745F">
        <w:rPr>
          <w:rFonts w:ascii="Times New Roman" w:hAnsi="Times New Roman"/>
          <w:sz w:val="24"/>
          <w:szCs w:val="24"/>
        </w:rPr>
        <w:t xml:space="preserve"> autorizado o aumento da despesa com pessoal para: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concessão</w:t>
      </w:r>
      <w:proofErr w:type="gramEnd"/>
      <w:r w:rsidRPr="006A745F">
        <w:rPr>
          <w:rFonts w:ascii="Times New Roman" w:hAnsi="Times New Roman"/>
          <w:sz w:val="24"/>
          <w:szCs w:val="24"/>
        </w:rPr>
        <w:t xml:space="preserve"> de vantagem ou aumento de remuneração, criação de cargos, empregos e funções ou alteração de estruturas de carreiras;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admissão</w:t>
      </w:r>
      <w:proofErr w:type="gramEnd"/>
      <w:r w:rsidRPr="006A745F">
        <w:rPr>
          <w:rFonts w:ascii="Times New Roman" w:hAnsi="Times New Roman"/>
          <w:sz w:val="24"/>
          <w:szCs w:val="24"/>
        </w:rPr>
        <w:t xml:space="preserve"> de pessoal ou contratação a qualquer título.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Parágrafo único. </w:t>
      </w:r>
      <w:r w:rsidRPr="006A745F">
        <w:rPr>
          <w:rFonts w:ascii="Times New Roman" w:hAnsi="Times New Roman"/>
          <w:sz w:val="24"/>
          <w:szCs w:val="24"/>
        </w:rPr>
        <w:t>Os aumentos de despesa de que trata este artigo somente poderão ocorrer se houver:</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 – </w:t>
      </w:r>
      <w:proofErr w:type="gramStart"/>
      <w:r w:rsidRPr="006A745F">
        <w:rPr>
          <w:rFonts w:ascii="Times New Roman" w:hAnsi="Times New Roman"/>
          <w:sz w:val="24"/>
          <w:szCs w:val="24"/>
        </w:rPr>
        <w:t>prévia</w:t>
      </w:r>
      <w:proofErr w:type="gramEnd"/>
      <w:r w:rsidRPr="006A745F">
        <w:rPr>
          <w:rFonts w:ascii="Times New Roman" w:hAnsi="Times New Roman"/>
          <w:sz w:val="24"/>
          <w:szCs w:val="24"/>
        </w:rPr>
        <w:t xml:space="preserve"> dotação orçamentária suficiente para atender às projeções de despesa de pessoal e aos acréscimos dela decorrentes;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 xml:space="preserve">II – </w:t>
      </w:r>
      <w:proofErr w:type="gramStart"/>
      <w:r w:rsidRPr="006A745F">
        <w:rPr>
          <w:rFonts w:ascii="Times New Roman" w:hAnsi="Times New Roman"/>
          <w:sz w:val="24"/>
          <w:szCs w:val="24"/>
        </w:rPr>
        <w:t>lei</w:t>
      </w:r>
      <w:proofErr w:type="gramEnd"/>
      <w:r w:rsidRPr="006A745F">
        <w:rPr>
          <w:rFonts w:ascii="Times New Roman" w:hAnsi="Times New Roman"/>
          <w:sz w:val="24"/>
          <w:szCs w:val="24"/>
        </w:rPr>
        <w:t xml:space="preserve"> específica para as hipóteses previstas no inciso I, do caput;</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III – no caso do Poder Legislativo, observância aos limites fixados nos artigos 29 e 29-A da Constituição Federal.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28.</w:t>
      </w:r>
      <w:r w:rsidRPr="006A745F">
        <w:rPr>
          <w:rFonts w:ascii="Times New Roman" w:hAnsi="Times New Roman"/>
          <w:sz w:val="24"/>
          <w:szCs w:val="24"/>
        </w:rPr>
        <w:t xml:space="preserve"> Na hipótese de ser atingido o limite prudencial de que trata o artigo 22 da Lei Complementar nº 101/2000, a contratação de horas extras somente poderá ocorrer nos casos de calamidade pública, na </w:t>
      </w:r>
      <w:r w:rsidRPr="006A745F">
        <w:rPr>
          <w:rFonts w:ascii="Times New Roman" w:hAnsi="Times New Roman"/>
          <w:sz w:val="24"/>
          <w:szCs w:val="24"/>
        </w:rPr>
        <w:lastRenderedPageBreak/>
        <w:t>execução de programas emergenciais de saúde pública ou em situações de extrema gravidade, devidamente reconhecida pelo respectivo Chefe do Poder.</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Art. 29. </w:t>
      </w:r>
      <w:r w:rsidRPr="006A745F">
        <w:rPr>
          <w:rFonts w:ascii="Times New Roman" w:hAnsi="Times New Roman"/>
          <w:bCs/>
          <w:sz w:val="24"/>
          <w:szCs w:val="24"/>
        </w:rPr>
        <w:t>Desde não conflitante com a Lei Complementar 173, artigo 8º, fica</w:t>
      </w:r>
      <w:r w:rsidRPr="006A745F">
        <w:rPr>
          <w:rFonts w:ascii="Times New Roman" w:hAnsi="Times New Roman"/>
          <w:sz w:val="24"/>
          <w:szCs w:val="24"/>
        </w:rPr>
        <w:t xml:space="preserve"> autorizada a revisão geral anual de que trata o artigo 37, inciso X, da Constituição Federal, cujo percentual será definido em lei específica.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Art. 30. </w:t>
      </w:r>
      <w:r w:rsidRPr="006A745F">
        <w:rPr>
          <w:rFonts w:ascii="Times New Roman" w:hAnsi="Times New Roman"/>
          <w:sz w:val="24"/>
          <w:szCs w:val="24"/>
        </w:rPr>
        <w:t>O Poder Executivo realizará estudos visando a definição de sistema de controle de custos e a avaliação do resultado dos programas de governo.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31.</w:t>
      </w:r>
      <w:r w:rsidRPr="006A745F">
        <w:rPr>
          <w:rFonts w:ascii="Times New Roman" w:hAnsi="Times New Roman"/>
          <w:sz w:val="24"/>
          <w:szCs w:val="24"/>
        </w:rPr>
        <w:t xml:space="preserve">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b/>
          <w:sz w:val="24"/>
          <w:szCs w:val="24"/>
        </w:rPr>
        <w:t xml:space="preserve"> </w:t>
      </w:r>
      <w:r w:rsidR="004A2ED9" w:rsidRPr="006A745F">
        <w:rPr>
          <w:rFonts w:ascii="Times New Roman" w:hAnsi="Times New Roman"/>
          <w:sz w:val="24"/>
          <w:szCs w:val="24"/>
        </w:rPr>
        <w:t>Merecerá destaque o aprimoramento da gestão orçamentária, financeira e patrimonial, por intermédio da modernização dos instrumentos de planejamento, execução, avaliação e controle interno.</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2º</w:t>
      </w:r>
      <w:r w:rsidR="004A2ED9" w:rsidRPr="006A745F">
        <w:rPr>
          <w:rFonts w:ascii="Times New Roman" w:hAnsi="Times New Roman"/>
          <w:sz w:val="24"/>
          <w:szCs w:val="24"/>
        </w:rPr>
        <w:t xml:space="preserve"> O Poder Executivo promoverá amplo esforço de redução de custos, otimização de gastos e reordenamento de despesas do setor público municipal, sobretudo pelo aumento da produtividade na prestação de serviços públicos e sociais.</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CAPÍTULO V</w:t>
      </w:r>
    </w:p>
    <w:p w:rsidR="004A2ED9" w:rsidRPr="006A745F" w:rsidRDefault="004A2ED9" w:rsidP="004A2ED9">
      <w:pPr>
        <w:suppressAutoHyphens/>
        <w:jc w:val="center"/>
        <w:rPr>
          <w:rFonts w:ascii="Times New Roman" w:hAnsi="Times New Roman"/>
          <w:b/>
          <w:sz w:val="24"/>
          <w:szCs w:val="24"/>
        </w:rPr>
      </w:pPr>
      <w:r w:rsidRPr="006A745F">
        <w:rPr>
          <w:rFonts w:ascii="Times New Roman" w:hAnsi="Times New Roman"/>
          <w:b/>
          <w:sz w:val="24"/>
          <w:szCs w:val="24"/>
        </w:rPr>
        <w:t>DAS DISPOSIÇÕES SOBRE ALTERAÇÕES DA LEGISLAÇÃO TRIBUTÁRIA</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32.</w:t>
      </w:r>
      <w:r w:rsidRPr="006A745F">
        <w:rPr>
          <w:rFonts w:ascii="Times New Roman" w:hAnsi="Times New Roman"/>
          <w:sz w:val="24"/>
          <w:szCs w:val="24"/>
        </w:rPr>
        <w:t xml:space="preserve">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4A2ED9" w:rsidRPr="006A745F" w:rsidRDefault="00CF180F" w:rsidP="004A2ED9">
      <w:pPr>
        <w:suppressAutoHyphens/>
        <w:jc w:val="both"/>
        <w:rPr>
          <w:rFonts w:ascii="Times New Roman" w:hAnsi="Times New Roman"/>
          <w:sz w:val="24"/>
          <w:szCs w:val="24"/>
        </w:rPr>
      </w:pPr>
      <w:r>
        <w:rPr>
          <w:rFonts w:ascii="Times New Roman" w:hAnsi="Times New Roman"/>
          <w:b/>
          <w:sz w:val="24"/>
          <w:szCs w:val="24"/>
        </w:rPr>
        <w:t>§ 1º</w:t>
      </w:r>
      <w:r w:rsidR="004A2ED9" w:rsidRPr="006A745F">
        <w:rPr>
          <w:rFonts w:ascii="Times New Roman" w:hAnsi="Times New Roman"/>
          <w:sz w:val="24"/>
          <w:szCs w:val="24"/>
        </w:rPr>
        <w:t xml:space="preserve"> As alterações propostas na legislação tributária de que trata o caput deste artigo poderão versar sobre:</w:t>
      </w:r>
    </w:p>
    <w:p w:rsidR="004A2ED9" w:rsidRPr="006A745F" w:rsidRDefault="00CF180F" w:rsidP="004A2ED9">
      <w:pPr>
        <w:suppressAutoHyphens/>
        <w:jc w:val="both"/>
        <w:rPr>
          <w:rFonts w:ascii="Times New Roman" w:hAnsi="Times New Roman"/>
          <w:sz w:val="24"/>
          <w:szCs w:val="24"/>
        </w:rPr>
      </w:pPr>
      <w:r>
        <w:rPr>
          <w:rFonts w:ascii="Times New Roman" w:hAnsi="Times New Roman"/>
          <w:sz w:val="24"/>
          <w:szCs w:val="24"/>
        </w:rPr>
        <w:t>I -</w:t>
      </w:r>
      <w:r w:rsidR="004A2ED9" w:rsidRPr="006A745F">
        <w:rPr>
          <w:rFonts w:ascii="Times New Roman" w:hAnsi="Times New Roman"/>
          <w:sz w:val="24"/>
          <w:szCs w:val="24"/>
        </w:rPr>
        <w:t xml:space="preserve"> </w:t>
      </w:r>
      <w:proofErr w:type="gramStart"/>
      <w:r w:rsidR="004A2ED9" w:rsidRPr="006A745F">
        <w:rPr>
          <w:rFonts w:ascii="Times New Roman" w:hAnsi="Times New Roman"/>
          <w:sz w:val="24"/>
          <w:szCs w:val="24"/>
        </w:rPr>
        <w:t>o</w:t>
      </w:r>
      <w:proofErr w:type="gramEnd"/>
      <w:r w:rsidR="004A2ED9" w:rsidRPr="006A745F">
        <w:rPr>
          <w:rFonts w:ascii="Times New Roman" w:hAnsi="Times New Roman"/>
          <w:sz w:val="24"/>
          <w:szCs w:val="24"/>
        </w:rPr>
        <w:t xml:space="preserve"> ajuste da legislação tributária aos novos ditames estabelecidos pela Constituição Federal e pelas condições econômicas do País;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w:t>
      </w:r>
      <w:r w:rsidR="00CF180F">
        <w:rPr>
          <w:rFonts w:ascii="Times New Roman" w:hAnsi="Times New Roman"/>
          <w:sz w:val="24"/>
          <w:szCs w:val="24"/>
        </w:rPr>
        <w:t xml:space="preserve"> -</w:t>
      </w:r>
      <w:r w:rsidRPr="006A745F">
        <w:rPr>
          <w:rFonts w:ascii="Times New Roman" w:hAnsi="Times New Roman"/>
          <w:sz w:val="24"/>
          <w:szCs w:val="24"/>
        </w:rPr>
        <w:t xml:space="preserve"> </w:t>
      </w:r>
      <w:proofErr w:type="gramStart"/>
      <w:r w:rsidRPr="006A745F">
        <w:rPr>
          <w:rFonts w:ascii="Times New Roman" w:hAnsi="Times New Roman"/>
          <w:sz w:val="24"/>
          <w:szCs w:val="24"/>
        </w:rPr>
        <w:t>a</w:t>
      </w:r>
      <w:proofErr w:type="gramEnd"/>
      <w:r w:rsidRPr="006A745F">
        <w:rPr>
          <w:rFonts w:ascii="Times New Roman" w:hAnsi="Times New Roman"/>
          <w:sz w:val="24"/>
          <w:szCs w:val="24"/>
        </w:rPr>
        <w:t xml:space="preserve"> adequação da tributação em função das características próprias do Município e em razão das alterações que vêm sendo processadas no contexto tributária da economia nacional;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III</w:t>
      </w:r>
      <w:r w:rsidR="00CF180F">
        <w:rPr>
          <w:rFonts w:ascii="Times New Roman" w:hAnsi="Times New Roman"/>
          <w:sz w:val="24"/>
          <w:szCs w:val="24"/>
        </w:rPr>
        <w:t xml:space="preserve"> -</w:t>
      </w:r>
      <w:r w:rsidRPr="006A745F">
        <w:rPr>
          <w:rFonts w:ascii="Times New Roman" w:hAnsi="Times New Roman"/>
          <w:sz w:val="24"/>
          <w:szCs w:val="24"/>
        </w:rPr>
        <w:t xml:space="preserve"> a atualização, implementação ou revisão da planta genérica de valores do Município, objetivando a modernização do cadastro físico;</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IV</w:t>
      </w:r>
      <w:r w:rsidR="00CF180F">
        <w:rPr>
          <w:rFonts w:ascii="Times New Roman" w:hAnsi="Times New Roman"/>
          <w:sz w:val="24"/>
          <w:szCs w:val="24"/>
        </w:rPr>
        <w:t xml:space="preserve"> -</w:t>
      </w:r>
      <w:r w:rsidRPr="006A745F">
        <w:rPr>
          <w:rFonts w:ascii="Times New Roman" w:hAnsi="Times New Roman"/>
          <w:sz w:val="24"/>
          <w:szCs w:val="24"/>
        </w:rPr>
        <w:t xml:space="preserve"> </w:t>
      </w:r>
      <w:proofErr w:type="gramStart"/>
      <w:r w:rsidRPr="006A745F">
        <w:rPr>
          <w:rFonts w:ascii="Times New Roman" w:hAnsi="Times New Roman"/>
          <w:sz w:val="24"/>
          <w:szCs w:val="24"/>
        </w:rPr>
        <w:t>a</w:t>
      </w:r>
      <w:proofErr w:type="gramEnd"/>
      <w:r w:rsidRPr="006A745F">
        <w:rPr>
          <w:rFonts w:ascii="Times New Roman" w:hAnsi="Times New Roman"/>
          <w:sz w:val="24"/>
          <w:szCs w:val="24"/>
        </w:rPr>
        <w:t xml:space="preserve"> revisão do Imposto Predial e Territorial Urbano – IPTU, inclusive das suas alíquotas, da base de cálculo, da forma de cálculo e das condições de pagamento;</w:t>
      </w:r>
    </w:p>
    <w:p w:rsidR="004A2ED9" w:rsidRPr="006A745F" w:rsidRDefault="00CF180F" w:rsidP="004A2ED9">
      <w:pPr>
        <w:suppressAutoHyphens/>
        <w:jc w:val="both"/>
        <w:rPr>
          <w:rFonts w:ascii="Times New Roman" w:hAnsi="Times New Roman"/>
          <w:sz w:val="24"/>
          <w:szCs w:val="24"/>
        </w:rPr>
      </w:pPr>
      <w:r>
        <w:rPr>
          <w:rFonts w:ascii="Times New Roman" w:hAnsi="Times New Roman"/>
          <w:sz w:val="24"/>
          <w:szCs w:val="24"/>
        </w:rPr>
        <w:t>V -</w:t>
      </w:r>
      <w:r w:rsidR="004A2ED9" w:rsidRPr="006A745F">
        <w:rPr>
          <w:rFonts w:ascii="Times New Roman" w:hAnsi="Times New Roman"/>
          <w:sz w:val="24"/>
          <w:szCs w:val="24"/>
        </w:rPr>
        <w:t xml:space="preserve"> </w:t>
      </w:r>
      <w:proofErr w:type="gramStart"/>
      <w:r w:rsidR="004A2ED9" w:rsidRPr="006A745F">
        <w:rPr>
          <w:rFonts w:ascii="Times New Roman" w:hAnsi="Times New Roman"/>
          <w:sz w:val="24"/>
          <w:szCs w:val="24"/>
        </w:rPr>
        <w:t>a</w:t>
      </w:r>
      <w:proofErr w:type="gramEnd"/>
      <w:r w:rsidR="004A2ED9" w:rsidRPr="006A745F">
        <w:rPr>
          <w:rFonts w:ascii="Times New Roman" w:hAnsi="Times New Roman"/>
          <w:sz w:val="24"/>
          <w:szCs w:val="24"/>
        </w:rPr>
        <w:t xml:space="preserve"> revisão e atualização da legislação sobre a contribuição de melhoria decorrente de obras públicas;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lastRenderedPageBreak/>
        <w:t>VI</w:t>
      </w:r>
      <w:r w:rsidR="00CF180F">
        <w:rPr>
          <w:rFonts w:ascii="Times New Roman" w:hAnsi="Times New Roman"/>
          <w:sz w:val="24"/>
          <w:szCs w:val="24"/>
        </w:rPr>
        <w:t xml:space="preserve"> -</w:t>
      </w:r>
      <w:r w:rsidRPr="006A745F">
        <w:rPr>
          <w:rFonts w:ascii="Times New Roman" w:hAnsi="Times New Roman"/>
          <w:sz w:val="24"/>
          <w:szCs w:val="24"/>
        </w:rPr>
        <w:t xml:space="preserve"> </w:t>
      </w:r>
      <w:proofErr w:type="gramStart"/>
      <w:r w:rsidRPr="006A745F">
        <w:rPr>
          <w:rFonts w:ascii="Times New Roman" w:hAnsi="Times New Roman"/>
          <w:sz w:val="24"/>
          <w:szCs w:val="24"/>
        </w:rPr>
        <w:t>a</w:t>
      </w:r>
      <w:proofErr w:type="gramEnd"/>
      <w:r w:rsidRPr="006A745F">
        <w:rPr>
          <w:rFonts w:ascii="Times New Roman" w:hAnsi="Times New Roman"/>
          <w:sz w:val="24"/>
          <w:szCs w:val="24"/>
        </w:rPr>
        <w:t xml:space="preserve"> revisão da legislação sobre o Imposto sobre a Transmissão </w:t>
      </w:r>
      <w:proofErr w:type="spellStart"/>
      <w:r w:rsidRPr="006A745F">
        <w:rPr>
          <w:rFonts w:ascii="Times New Roman" w:hAnsi="Times New Roman"/>
          <w:sz w:val="24"/>
          <w:szCs w:val="24"/>
        </w:rPr>
        <w:t>inter-vivos</w:t>
      </w:r>
      <w:proofErr w:type="spellEnd"/>
      <w:r w:rsidRPr="006A745F">
        <w:rPr>
          <w:rFonts w:ascii="Times New Roman" w:hAnsi="Times New Roman"/>
          <w:sz w:val="24"/>
          <w:szCs w:val="24"/>
        </w:rPr>
        <w:t xml:space="preserve"> e de Bens Imóveis e de Direitos Reais sobre Imóveis – ITBI;</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VII</w:t>
      </w:r>
      <w:r w:rsidR="00CF180F">
        <w:rPr>
          <w:rFonts w:ascii="Times New Roman" w:hAnsi="Times New Roman"/>
          <w:sz w:val="24"/>
          <w:szCs w:val="24"/>
        </w:rPr>
        <w:t xml:space="preserve"> -</w:t>
      </w:r>
      <w:r w:rsidRPr="006A745F">
        <w:rPr>
          <w:rFonts w:ascii="Times New Roman" w:hAnsi="Times New Roman"/>
          <w:sz w:val="24"/>
          <w:szCs w:val="24"/>
        </w:rPr>
        <w:t xml:space="preserve"> a revisão das isenções dos tributos, remissão ou anistia e taxas do Município, para manter o interesse público e a justiça fiscal;</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sz w:val="24"/>
          <w:szCs w:val="24"/>
        </w:rPr>
        <w:t>VIII</w:t>
      </w:r>
      <w:r w:rsidR="00CF180F">
        <w:rPr>
          <w:rFonts w:ascii="Times New Roman" w:hAnsi="Times New Roman"/>
          <w:sz w:val="24"/>
          <w:szCs w:val="24"/>
        </w:rPr>
        <w:t xml:space="preserve"> -</w:t>
      </w:r>
      <w:r w:rsidRPr="006A745F">
        <w:rPr>
          <w:rFonts w:ascii="Times New Roman" w:hAnsi="Times New Roman"/>
          <w:sz w:val="24"/>
          <w:szCs w:val="24"/>
        </w:rPr>
        <w:t xml:space="preserve"> a criação do cadastro rural, objetivando o desenvolvimento rural no Município;</w:t>
      </w:r>
    </w:p>
    <w:p w:rsidR="004A2ED9" w:rsidRPr="006A745F" w:rsidRDefault="00CF180F" w:rsidP="004A2ED9">
      <w:pPr>
        <w:suppressAutoHyphens/>
        <w:jc w:val="both"/>
        <w:rPr>
          <w:rFonts w:ascii="Times New Roman" w:hAnsi="Times New Roman"/>
          <w:sz w:val="24"/>
          <w:szCs w:val="24"/>
        </w:rPr>
      </w:pPr>
      <w:r>
        <w:rPr>
          <w:rFonts w:ascii="Times New Roman" w:hAnsi="Times New Roman"/>
          <w:sz w:val="24"/>
          <w:szCs w:val="24"/>
        </w:rPr>
        <w:t>IX -</w:t>
      </w:r>
      <w:r w:rsidR="004A2ED9" w:rsidRPr="006A745F">
        <w:rPr>
          <w:rFonts w:ascii="Times New Roman" w:hAnsi="Times New Roman"/>
          <w:sz w:val="24"/>
          <w:szCs w:val="24"/>
        </w:rPr>
        <w:t xml:space="preserve"> </w:t>
      </w:r>
      <w:proofErr w:type="gramStart"/>
      <w:r w:rsidR="004A2ED9" w:rsidRPr="006A745F">
        <w:rPr>
          <w:rFonts w:ascii="Times New Roman" w:hAnsi="Times New Roman"/>
          <w:sz w:val="24"/>
          <w:szCs w:val="24"/>
        </w:rPr>
        <w:t>revisão</w:t>
      </w:r>
      <w:proofErr w:type="gramEnd"/>
      <w:r w:rsidR="004A2ED9" w:rsidRPr="006A745F">
        <w:rPr>
          <w:rFonts w:ascii="Times New Roman" w:hAnsi="Times New Roman"/>
          <w:sz w:val="24"/>
          <w:szCs w:val="24"/>
        </w:rPr>
        <w:t xml:space="preserve"> da legislação sobre o Imposto sobre Serviços de Qualquer Natureza (ISSQN), bem como das taxas e adequação à Lei Complementar nº 157/2016.</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2º.</w:t>
      </w:r>
      <w:r w:rsidRPr="006A745F">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4A2ED9" w:rsidRPr="006A745F" w:rsidRDefault="004A2ED9" w:rsidP="004A2ED9">
      <w:pPr>
        <w:suppressAutoHyphens/>
        <w:jc w:val="both"/>
        <w:rPr>
          <w:rFonts w:ascii="Times New Roman" w:hAnsi="Times New Roman"/>
          <w:sz w:val="24"/>
          <w:szCs w:val="24"/>
        </w:rPr>
      </w:pPr>
      <w:r w:rsidRPr="006A745F">
        <w:rPr>
          <w:rFonts w:ascii="Times New Roman" w:hAnsi="Times New Roman"/>
          <w:b/>
          <w:sz w:val="24"/>
          <w:szCs w:val="24"/>
        </w:rPr>
        <w:t xml:space="preserve">Art. 33. </w:t>
      </w:r>
      <w:r w:rsidRPr="006A745F">
        <w:rPr>
          <w:rFonts w:ascii="Times New Roman" w:hAnsi="Times New Roman"/>
          <w:sz w:val="24"/>
          <w:szCs w:val="24"/>
        </w:rPr>
        <w:t>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4A2ED9" w:rsidRDefault="004A2ED9" w:rsidP="004A2ED9">
      <w:pPr>
        <w:suppressAutoHyphens/>
        <w:jc w:val="both"/>
        <w:rPr>
          <w:rFonts w:ascii="Times New Roman" w:hAnsi="Times New Roman"/>
          <w:sz w:val="24"/>
          <w:szCs w:val="24"/>
        </w:rPr>
      </w:pPr>
      <w:r w:rsidRPr="006A745F">
        <w:rPr>
          <w:rFonts w:ascii="Times New Roman" w:hAnsi="Times New Roman"/>
          <w:b/>
          <w:sz w:val="24"/>
          <w:szCs w:val="24"/>
        </w:rPr>
        <w:t>Art. 34.</w:t>
      </w:r>
      <w:r w:rsidRPr="006A745F">
        <w:rPr>
          <w:rFonts w:ascii="Times New Roman" w:hAnsi="Times New Roman"/>
          <w:sz w:val="24"/>
          <w:szCs w:val="24"/>
        </w:rPr>
        <w:t xml:space="preserve"> Esta Lei entra em vigor na data de sua publicação.</w:t>
      </w:r>
    </w:p>
    <w:p w:rsidR="00CF180F" w:rsidRDefault="00CF180F" w:rsidP="00CF180F">
      <w:pPr>
        <w:pStyle w:val="SemEspaamento"/>
        <w:jc w:val="center"/>
        <w:rPr>
          <w:rFonts w:ascii="Times New Roman" w:hAnsi="Times New Roman"/>
          <w:sz w:val="24"/>
          <w:szCs w:val="24"/>
        </w:rPr>
      </w:pPr>
    </w:p>
    <w:p w:rsidR="00CF180F" w:rsidRPr="00CF180F" w:rsidRDefault="00CF180F" w:rsidP="00CF180F">
      <w:pPr>
        <w:pStyle w:val="SemEspaamento"/>
        <w:jc w:val="center"/>
        <w:rPr>
          <w:rFonts w:ascii="Times New Roman" w:hAnsi="Times New Roman"/>
          <w:sz w:val="24"/>
          <w:szCs w:val="24"/>
        </w:rPr>
      </w:pPr>
      <w:r w:rsidRPr="00CF180F">
        <w:rPr>
          <w:rFonts w:ascii="Times New Roman" w:hAnsi="Times New Roman"/>
          <w:sz w:val="24"/>
          <w:szCs w:val="24"/>
        </w:rPr>
        <w:t>Câmara Municipal de Pouso Alegre, 25 de agosto de 2020.</w:t>
      </w:r>
    </w:p>
    <w:p w:rsidR="00CF180F" w:rsidRDefault="00CF180F" w:rsidP="00CF180F">
      <w:pPr>
        <w:pStyle w:val="SemEspaamento"/>
        <w:jc w:val="center"/>
        <w:rPr>
          <w:rFonts w:ascii="Times New Roman" w:hAnsi="Times New Roman"/>
          <w:sz w:val="24"/>
          <w:szCs w:val="24"/>
        </w:rPr>
      </w:pPr>
    </w:p>
    <w:p w:rsidR="00CF180F" w:rsidRDefault="00CF180F" w:rsidP="00CF180F">
      <w:pPr>
        <w:pStyle w:val="SemEspaamento"/>
        <w:jc w:val="center"/>
        <w:rPr>
          <w:rFonts w:ascii="Times New Roman" w:hAnsi="Times New Roman"/>
          <w:sz w:val="24"/>
          <w:szCs w:val="24"/>
        </w:rPr>
      </w:pPr>
    </w:p>
    <w:p w:rsidR="005937D7" w:rsidRDefault="005937D7" w:rsidP="00CF180F">
      <w:pPr>
        <w:pStyle w:val="SemEspaamento"/>
        <w:jc w:val="center"/>
        <w:rPr>
          <w:rFonts w:ascii="Times New Roman" w:hAnsi="Times New Roman"/>
          <w:sz w:val="24"/>
          <w:szCs w:val="24"/>
        </w:rPr>
      </w:pPr>
      <w:bookmarkStart w:id="0" w:name="_GoBack"/>
      <w:bookmarkEnd w:id="0"/>
    </w:p>
    <w:p w:rsidR="00CF180F" w:rsidRPr="00CF180F" w:rsidRDefault="00CF180F" w:rsidP="00CF180F">
      <w:pPr>
        <w:pStyle w:val="SemEspaament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F180F" w:rsidRPr="00CF180F" w:rsidTr="00CF180F">
        <w:tc>
          <w:tcPr>
            <w:tcW w:w="5097" w:type="dxa"/>
          </w:tcPr>
          <w:p w:rsidR="00CF180F" w:rsidRPr="00CF180F" w:rsidRDefault="00CF180F" w:rsidP="00CF180F">
            <w:pPr>
              <w:pStyle w:val="SemEspaamento"/>
              <w:jc w:val="center"/>
              <w:rPr>
                <w:rFonts w:ascii="Times New Roman" w:hAnsi="Times New Roman"/>
                <w:sz w:val="24"/>
                <w:szCs w:val="24"/>
              </w:rPr>
            </w:pPr>
            <w:r w:rsidRPr="00CF180F">
              <w:rPr>
                <w:rFonts w:ascii="Times New Roman" w:hAnsi="Times New Roman"/>
                <w:sz w:val="24"/>
                <w:szCs w:val="24"/>
              </w:rPr>
              <w:t>Rodrigo Modesto</w:t>
            </w:r>
          </w:p>
        </w:tc>
        <w:tc>
          <w:tcPr>
            <w:tcW w:w="5098" w:type="dxa"/>
          </w:tcPr>
          <w:p w:rsidR="00CF180F" w:rsidRPr="00CF180F" w:rsidRDefault="00CF180F" w:rsidP="00CF180F">
            <w:pPr>
              <w:pStyle w:val="SemEspaamento"/>
              <w:jc w:val="center"/>
              <w:rPr>
                <w:rFonts w:ascii="Times New Roman" w:hAnsi="Times New Roman"/>
                <w:sz w:val="24"/>
                <w:szCs w:val="24"/>
              </w:rPr>
            </w:pPr>
            <w:r w:rsidRPr="00CF180F">
              <w:rPr>
                <w:rFonts w:ascii="Times New Roman" w:hAnsi="Times New Roman"/>
                <w:sz w:val="24"/>
                <w:szCs w:val="24"/>
              </w:rPr>
              <w:t>Dionísio Pereira</w:t>
            </w:r>
          </w:p>
        </w:tc>
      </w:tr>
      <w:tr w:rsidR="00CF180F" w:rsidRPr="00CF180F" w:rsidTr="00CF180F">
        <w:tc>
          <w:tcPr>
            <w:tcW w:w="5097" w:type="dxa"/>
          </w:tcPr>
          <w:p w:rsidR="00CF180F" w:rsidRPr="00CF180F" w:rsidRDefault="00CF180F" w:rsidP="00CF180F">
            <w:pPr>
              <w:pStyle w:val="SemEspaamento"/>
              <w:jc w:val="center"/>
              <w:rPr>
                <w:rFonts w:ascii="Times New Roman" w:hAnsi="Times New Roman"/>
                <w:sz w:val="20"/>
                <w:szCs w:val="20"/>
              </w:rPr>
            </w:pPr>
            <w:r w:rsidRPr="00CF180F">
              <w:rPr>
                <w:rFonts w:ascii="Times New Roman" w:hAnsi="Times New Roman"/>
                <w:sz w:val="20"/>
                <w:szCs w:val="20"/>
              </w:rPr>
              <w:t>PRESIDENTE DA MESA</w:t>
            </w:r>
          </w:p>
        </w:tc>
        <w:tc>
          <w:tcPr>
            <w:tcW w:w="5098" w:type="dxa"/>
          </w:tcPr>
          <w:p w:rsidR="00CF180F" w:rsidRPr="00CF180F" w:rsidRDefault="00CF180F" w:rsidP="00CF180F">
            <w:pPr>
              <w:pStyle w:val="SemEspaamento"/>
              <w:jc w:val="center"/>
              <w:rPr>
                <w:rFonts w:ascii="Times New Roman" w:hAnsi="Times New Roman"/>
                <w:sz w:val="20"/>
                <w:szCs w:val="20"/>
              </w:rPr>
            </w:pPr>
            <w:r w:rsidRPr="00CF180F">
              <w:rPr>
                <w:rFonts w:ascii="Times New Roman" w:hAnsi="Times New Roman"/>
                <w:sz w:val="20"/>
                <w:szCs w:val="20"/>
              </w:rPr>
              <w:t>1º SECRETÁRIO</w:t>
            </w:r>
          </w:p>
        </w:tc>
      </w:tr>
    </w:tbl>
    <w:p w:rsidR="00CF180F" w:rsidRPr="006A745F" w:rsidRDefault="00CF180F" w:rsidP="00CF180F">
      <w:pPr>
        <w:pStyle w:val="SemEspaamento"/>
      </w:pPr>
    </w:p>
    <w:p w:rsidR="004A2ED9" w:rsidRPr="003B3C7C" w:rsidRDefault="004A2ED9" w:rsidP="004A2ED9">
      <w:pPr>
        <w:suppressAutoHyphens/>
        <w:jc w:val="center"/>
        <w:rPr>
          <w:b/>
        </w:rPr>
      </w:pPr>
    </w:p>
    <w:sectPr w:rsidR="004A2ED9" w:rsidRPr="003B3C7C" w:rsidSect="004A2ED9">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D9"/>
    <w:rsid w:val="004A2ED9"/>
    <w:rsid w:val="005937D7"/>
    <w:rsid w:val="006A745F"/>
    <w:rsid w:val="00793A37"/>
    <w:rsid w:val="00CF18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69E79-33D3-44D6-8078-9C641627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D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F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F18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3652</Words>
  <Characters>19726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4</cp:revision>
  <dcterms:created xsi:type="dcterms:W3CDTF">2020-08-26T17:44:00Z</dcterms:created>
  <dcterms:modified xsi:type="dcterms:W3CDTF">2020-08-26T18:04:00Z</dcterms:modified>
</cp:coreProperties>
</file>