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</w:t>
      </w:r>
      <w:r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r>
        <w:rPr>
          <w:b/>
          <w:color w:val="000000"/>
        </w:rPr>
        <w:t>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  <w:r>
        <w:rPr>
          <w:b/>
          <w:color w:val="000000"/>
        </w:rPr>
      </w:r>
    </w:p>
    <w:p>
      <w:pPr>
        <w:ind w:left="2835"/>
        <w:spacing w:line="283" w:lineRule="auto"/>
        <w:rPr>
          <w:b/>
          <w:color w:val="000000"/>
        </w:rPr>
      </w:pPr>
      <w:r>
        <w:rPr>
          <w:b/>
          <w:color w:val="000000"/>
        </w:rPr>
      </w:r>
    </w:p>
    <w:p>
      <w:pPr>
        <w:ind w:left="2835"/>
        <w:spacing w:line="283" w:lineRule="auto"/>
        <w:rPr>
          <w:b/>
          <w:color w:val="000000"/>
        </w:rPr>
      </w:pPr>
      <w:r>
        <w:rPr>
          <w:b/>
          <w:color w:val="000000"/>
        </w:rPr>
      </w:r>
    </w:p>
    <w:p>
      <w:pPr>
        <w:ind w:left="5103" w:right="-1"/>
        <w:spacing/>
        <w:jc w:val="both"/>
        <w:tabs defTabSz="708">
          <w:tab w:val="left" w:pos="1416" w:leader="none"/>
          <w:tab w:val="left" w:pos="2124" w:leader="none"/>
          <w:tab w:val="left" w:pos="3540" w:leader="none"/>
          <w:tab w:val="left" w:pos="4956" w:leader="none"/>
          <w:tab w:val="left" w:pos="5103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</w:rPr>
      </w:pPr>
      <w:r>
        <w:rPr>
          <w:b/>
        </w:rPr>
        <w:t>ACRESCENTA O INCISO VIII AO § 2º DO ARTIGO 60 E O ARTIGO 71-D À RESOLUÇÃO Nº 1.172, DE 2012, QUE DISPÕE SOBRE O REGIMENTO INTERNO DA CÂMARA MUNICIPAL DE POUSO ALEGRE-MG, CRIANDO E REGULAMENTANDO A COMISSÃO PERMANENTE DE DEFESA DOS DIREITOS DO CONSUMIDOR.</w:t>
      </w:r>
    </w:p>
    <w:p>
      <w:pPr>
        <w:pStyle w:val="para4"/>
        <w:ind w:left="2835" w:right="567"/>
        <w:spacing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</w:r>
    </w:p>
    <w:p>
      <w:pPr>
        <w:pStyle w:val="para4"/>
        <w:ind w:left="2835" w:right="567"/>
        <w:spacing/>
        <w:jc w:val="both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Os vereadores abaixo signatários, nos termos do art. 301 do Regimento Interno da Câmara Municipal de Pouso Alegre, propõe o seguinte Projeto de Resolução:</w:t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</w:r>
      <w:r>
        <w:rPr>
          <w:rFonts w:ascii="Times New Roman" w:hAnsi="Times New Roman" w:eastAsia="Times New Roman"/>
          <w:b/>
          <w:color w:val="000000"/>
        </w:rPr>
        <w:t>Art. 1º</w:t>
      </w:r>
      <w:r>
        <w:rPr>
          <w:rFonts w:ascii="Times New Roman" w:hAnsi="Times New Roman" w:eastAsia="Times New Roman"/>
          <w:color w:val="000000"/>
        </w:rPr>
        <w:t xml:space="preserve"> Acrescenta o inciso VIII ao § 2º do artigo 60 da Resolução nº 1.172, de 2012, com a seguinte redação: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“Art. 60. (...)</w:t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  <w:t>§2º (...)</w:t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  <w:t>VIII – Defesa dos Direitos do Consumidor”.</w:t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</w:r>
      <w:r>
        <w:rPr>
          <w:rFonts w:ascii="Times New Roman" w:hAnsi="Times New Roman" w:eastAsia="Times New Roman"/>
          <w:b/>
          <w:color w:val="000000"/>
        </w:rPr>
        <w:t>Art. 2º</w:t>
      </w:r>
      <w:r>
        <w:rPr>
          <w:rFonts w:ascii="Times New Roman" w:hAnsi="Times New Roman" w:eastAsia="Times New Roman"/>
          <w:color w:val="000000"/>
        </w:rPr>
        <w:t xml:space="preserve"> Acrescenta o artigo 71-D na Resolução nº 1.172, de 2012, que vigorará com a seguinte redação: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  <w:t>“Art. 71-D. Compete à Comissão de Defesa dos Direitos do Consumidor, no exercício de sua competência:</w:t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  <w:t>I – opinar</w:t>
      </w:r>
      <w:r>
        <w:rPr>
          <w:rFonts w:ascii="Times New Roman" w:hAnsi="Times New Roman" w:eastAsia="Times New Roman"/>
          <w:color w:val="000000"/>
        </w:rPr>
        <w:t xml:space="preserve"> sobre proposições e assuntos relativos à defesa do consumidor, inclusive ouvindo pessoas e autoridades que tenham interesse e conhecimento sobre a matéria;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  <w:t xml:space="preserve">II </w:t>
      </w:r>
      <w:r>
        <w:rPr>
          <w:rFonts w:ascii="Times New Roman" w:hAnsi="Times New Roman" w:eastAsia="Times New Roman"/>
          <w:color w:val="000000"/>
        </w:rPr>
        <w:t>–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Times New Roman" w:hAnsi="Times New Roman" w:eastAsia="Times New Roman"/>
          <w:color w:val="000000"/>
        </w:rPr>
        <w:t>promover</w:t>
      </w:r>
      <w:r>
        <w:rPr>
          <w:rFonts w:ascii="Times New Roman" w:hAnsi="Times New Roman" w:eastAsia="Times New Roman"/>
          <w:color w:val="000000"/>
        </w:rPr>
        <w:t xml:space="preserve"> estudos, pesquisas, audiências públicas e debates sobre assunto de relevante interesse dos direitos do consumidor;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  <w:t xml:space="preserve">III </w:t>
      </w:r>
      <w:r>
        <w:rPr>
          <w:rFonts w:ascii="Times New Roman" w:hAnsi="Times New Roman" w:eastAsia="Times New Roman"/>
          <w:color w:val="000000"/>
        </w:rPr>
        <w:t>–</w:t>
      </w:r>
      <w:r>
        <w:rPr>
          <w:rFonts w:ascii="Times New Roman" w:hAnsi="Times New Roman" w:eastAsia="Times New Roman"/>
          <w:color w:val="000000"/>
        </w:rPr>
        <w:t xml:space="preserve"> receber e avaliar as denúncias relativas à violação dos direitos do consumidor, encaminhando-as também, aos órgãos competentes;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  <w:t xml:space="preserve">IV </w:t>
      </w:r>
      <w:r>
        <w:rPr>
          <w:rFonts w:ascii="Times New Roman" w:hAnsi="Times New Roman" w:eastAsia="Times New Roman"/>
          <w:color w:val="000000"/>
        </w:rPr>
        <w:t>–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Times New Roman" w:hAnsi="Times New Roman" w:eastAsia="Times New Roman"/>
          <w:color w:val="000000"/>
        </w:rPr>
        <w:t>colaborar e acompanhar</w:t>
      </w:r>
      <w:r>
        <w:rPr>
          <w:rFonts w:ascii="Times New Roman" w:hAnsi="Times New Roman" w:eastAsia="Times New Roman"/>
          <w:color w:val="000000"/>
        </w:rPr>
        <w:t xml:space="preserve"> programas governamentais e não governamentais relativos à proteção dos direitos do consumidor; 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  <w:t xml:space="preserve">V </w:t>
      </w:r>
      <w:r>
        <w:rPr>
          <w:rFonts w:ascii="Times New Roman" w:hAnsi="Times New Roman" w:eastAsia="Times New Roman"/>
          <w:color w:val="000000"/>
        </w:rPr>
        <w:t>–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Times New Roman" w:hAnsi="Times New Roman" w:eastAsia="Times New Roman"/>
          <w:color w:val="000000"/>
        </w:rPr>
        <w:t>acompanhar</w:t>
      </w:r>
      <w:r>
        <w:rPr>
          <w:rFonts w:ascii="Times New Roman" w:hAnsi="Times New Roman" w:eastAsia="Times New Roman"/>
          <w:color w:val="000000"/>
        </w:rPr>
        <w:t xml:space="preserve"> a atuação das agências governamentais no âmbito da defesa dos direitos do consumidor;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  <w:t>VI- elaborar</w:t>
      </w:r>
      <w:r>
        <w:rPr>
          <w:rFonts w:ascii="Times New Roman" w:hAnsi="Times New Roman" w:eastAsia="Times New Roman"/>
          <w:color w:val="000000"/>
        </w:rPr>
        <w:t xml:space="preserve"> estudos para aprimorar os serviços de atendimento gratuito à defesa dos direitos do consumidor e se manifestar sobre a organização ou reorganização de repartições da administração direta ou indireta aplicadas a esses fins;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VII </w:t>
      </w:r>
      <w:r>
        <w:rPr>
          <w:rFonts w:ascii="Times New Roman" w:hAnsi="Times New Roman" w:eastAsia="Times New Roman"/>
          <w:color w:val="000000"/>
        </w:rPr>
        <w:t>–</w:t>
      </w:r>
      <w:r>
        <w:rPr>
          <w:rFonts w:ascii="Times New Roman" w:hAnsi="Times New Roman" w:eastAsia="Times New Roman"/>
          <w:color w:val="000000"/>
        </w:rPr>
        <w:t xml:space="preserve"> emitir pareceres técnicos quanto aos assuntos ligados ao consumidor, dentro das prerrogativas do legislativo municipal;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  <w:t xml:space="preserve">VIII </w:t>
      </w:r>
      <w:r>
        <w:rPr>
          <w:rFonts w:ascii="Times New Roman" w:hAnsi="Times New Roman" w:eastAsia="Times New Roman"/>
          <w:color w:val="000000"/>
        </w:rPr>
        <w:t>–</w:t>
      </w:r>
      <w:r>
        <w:rPr>
          <w:rFonts w:ascii="Times New Roman" w:hAnsi="Times New Roman" w:eastAsia="Times New Roman"/>
          <w:color w:val="000000"/>
        </w:rPr>
        <w:t xml:space="preserve"> manter os consumidores informados sobre os seus direitos e deveres, de acordo com o Código de Defesa do Consumidor, individualmente e através de campanhas </w:t>
      </w:r>
      <w:r>
        <w:rPr>
          <w:rFonts w:ascii="Times New Roman" w:hAnsi="Times New Roman" w:eastAsia="Times New Roman"/>
          <w:color w:val="000000"/>
        </w:rPr>
        <w:t>públicas.</w:t>
      </w:r>
      <w:r>
        <w:rPr>
          <w:rFonts w:ascii="Times New Roman" w:hAnsi="Times New Roman" w:eastAsia="Times New Roman"/>
          <w:color w:val="000000"/>
        </w:rPr>
        <w:t>”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</w:r>
      <w:r>
        <w:rPr>
          <w:rFonts w:ascii="Times New Roman" w:hAnsi="Times New Roman" w:eastAsia="Times New Roman"/>
          <w:b/>
          <w:color w:val="000000"/>
        </w:rPr>
        <w:t>Art. 3º</w:t>
      </w:r>
      <w:r>
        <w:rPr>
          <w:rFonts w:ascii="Times New Roman" w:hAnsi="Times New Roman" w:eastAsia="Times New Roman"/>
          <w:color w:val="000000"/>
        </w:rPr>
        <w:t xml:space="preserve"> Observado o artigo 59 e demais disposições pertinentes da Resolução nº 1.172, de 2012, os membros da Comissão de Defesa dos Direitos do Consumidor serão designados pelo Presidente da Câmara.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</w:r>
      <w:r>
        <w:rPr>
          <w:rFonts w:ascii="Times New Roman" w:hAnsi="Times New Roman" w:eastAsia="Times New Roman"/>
          <w:b/>
          <w:color w:val="000000"/>
        </w:rPr>
        <w:t>Parágrafo único</w:t>
      </w:r>
      <w:r>
        <w:rPr>
          <w:rFonts w:ascii="Times New Roman" w:hAnsi="Times New Roman" w:eastAsia="Times New Roman"/>
          <w:color w:val="000000"/>
        </w:rPr>
        <w:t xml:space="preserve">. Após a primeira composição da Comissão aludida no </w:t>
      </w:r>
      <w:r>
        <w:rPr>
          <w:rFonts w:ascii="Times New Roman" w:hAnsi="Times New Roman" w:eastAsia="Times New Roman"/>
          <w:b/>
          <w:color w:val="000000"/>
        </w:rPr>
        <w:t>caput</w:t>
      </w:r>
      <w:r>
        <w:rPr>
          <w:rFonts w:ascii="Times New Roman" w:hAnsi="Times New Roman" w:eastAsia="Times New Roman"/>
          <w:color w:val="000000"/>
        </w:rPr>
        <w:t>, será obedecido o disposto no artigo 61 da Resolução nº 1.172, de 2012.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</w:r>
      <w:r>
        <w:rPr>
          <w:rFonts w:ascii="Times New Roman" w:hAnsi="Times New Roman" w:eastAsia="Times New Roman"/>
          <w:b/>
          <w:color w:val="000000"/>
        </w:rPr>
        <w:t>Art. 4º</w:t>
      </w:r>
      <w:r>
        <w:rPr>
          <w:rFonts w:ascii="Times New Roman" w:hAnsi="Times New Roman" w:eastAsia="Times New Roman"/>
          <w:color w:val="000000"/>
        </w:rPr>
        <w:t xml:space="preserve"> Revogam-se as disposições em contrário.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textWrapping"/>
      </w:r>
      <w:r>
        <w:rPr>
          <w:rFonts w:ascii="Times New Roman" w:hAnsi="Times New Roman" w:eastAsia="Times New Roman"/>
          <w:b/>
          <w:color w:val="000000"/>
        </w:rPr>
        <w:t>Art. 5º</w:t>
      </w:r>
      <w:r>
        <w:rPr>
          <w:rFonts w:ascii="Times New Roman" w:hAnsi="Times New Roman" w:eastAsia="Times New Roman"/>
          <w:color w:val="000000"/>
        </w:rPr>
        <w:t xml:space="preserve"> Esta Resolução entra em vigor na data de sua publicação.</w:t>
      </w:r>
      <w:r>
        <w:rPr>
          <w:rFonts w:ascii="Times New Roman" w:hAnsi="Times New Roman" w:eastAsia="Times New Roman"/>
          <w:color w:val="000000"/>
        </w:rPr>
      </w:r>
    </w:p>
    <w:p>
      <w:pPr>
        <w:pStyle w:val="para4"/>
        <w:ind w:right="567" w:firstLine="2835"/>
        <w:spacing/>
        <w:jc w:val="both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</w:r>
    </w:p>
    <w:p>
      <w:pPr>
        <w:ind w:right="567" w:firstLine="2835"/>
        <w:spacing w:line="283" w:lineRule="auto"/>
        <w:rPr>
          <w:b/>
          <w:color w:val="000000"/>
        </w:rPr>
      </w:pPr>
      <w:r>
        <w:rPr>
          <w:b/>
          <w:color w:val="000000"/>
        </w:rPr>
      </w:r>
    </w:p>
    <w:p>
      <w:pPr>
        <w:spacing/>
        <w:jc w:val="center"/>
        <w:rPr>
          <w:color w:val="000000"/>
        </w:rPr>
      </w:pPr>
      <w:r>
        <w:rPr>
          <w:color w:val="000000"/>
        </w:rPr>
        <w:t>Sala das Sessões, em 12 de agosto de 2020.</w:t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tbl>
      <w:tblPr>
        <w:tblStyle w:val="TableGrid"/>
        <w:name w:val="Tabela1"/>
        <w:tabOrder w:val="0"/>
        <w:jc w:val="left"/>
        <w:tblInd w:w="0" w:type="dxa"/>
        <w:tblW w:w="10195" w:type="dxa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>
        <w:trPr>
          <w:tblHeader w:val="0"/>
          <w:cantSplit w:val="0"/>
          <w:trHeight w:val="0" w:hRule="auto"/>
        </w:trPr>
        <w:tc>
          <w:tcPr>
            <w:tcW w:w="33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  <w:tc>
          <w:tcPr>
            <w:tcW w:w="33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  <w:tc>
          <w:tcPr>
            <w:tcW w:w="339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3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</w:rPr>
            </w:r>
          </w:p>
        </w:tc>
        <w:tc>
          <w:tcPr>
            <w:tcW w:w="339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</w:rPr>
            </w:r>
          </w:p>
        </w:tc>
      </w:tr>
    </w:tbl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tbl>
      <w:tblPr>
        <w:tblStyle w:val="TableGrid"/>
        <w:name w:val="Tabela2"/>
        <w:tabOrder w:val="0"/>
        <w:jc w:val="left"/>
        <w:tblInd w:w="0" w:type="dxa"/>
        <w:tblW w:w="10195" w:type="dxa"/>
        <w:tblLook w:val="04A0" w:firstRow="1" w:lastRow="0" w:firstColumn="1" w:lastColumn="0" w:noHBand="0" w:noVBand="1"/>
      </w:tblPr>
      <w:tblGrid>
        <w:gridCol w:w="5097"/>
        <w:gridCol w:w="5098"/>
      </w:tblGrid>
      <w:tr>
        <w:trPr>
          <w:tblHeader w:val="0"/>
          <w:cantSplit w:val="0"/>
          <w:trHeight w:val="0" w:hRule="auto"/>
        </w:trPr>
        <w:tc>
          <w:tcPr>
            <w:tcW w:w="509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  <w:tc>
          <w:tcPr>
            <w:tcW w:w="50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9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</w:rPr>
            </w:r>
          </w:p>
        </w:tc>
        <w:tc>
          <w:tcPr>
            <w:tcW w:w="50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</w:rPr>
            </w:r>
          </w:p>
        </w:tc>
      </w:tr>
    </w:tbl>
    <w:p>
      <w:pPr>
        <w:rPr>
          <w:color w:val="000000"/>
        </w:rPr>
      </w:pPr>
      <w:r>
        <w:rPr>
          <w:color w:val="000000"/>
        </w:rPr>
      </w:r>
    </w:p>
    <w:p>
      <w:pPr>
        <w:spacing w:line="142" w:lineRule="auto"/>
        <w:jc w:val="center"/>
        <w:rPr>
          <w:color w:val="000000"/>
        </w:rPr>
      </w:pPr>
      <w:r>
        <w:rPr>
          <w:color w:val="000000"/>
        </w:rPr>
      </w:r>
    </w:p>
    <w:p>
      <w:pPr>
        <w:spacing w:line="283" w:lineRule="auto"/>
        <w:jc w:val="center"/>
        <w:rPr>
          <w:color w:val="000000"/>
        </w:rPr>
      </w:pPr>
      <w:r>
        <w:rPr>
          <w:color w:val="000000"/>
        </w:rPr>
      </w:r>
    </w:p>
    <w:p>
      <w:pPr>
        <w:spacing/>
        <w:jc w:val="center"/>
        <w:rPr>
          <w:b/>
        </w:rPr>
      </w:pPr>
      <w:r>
        <w:rPr>
          <w:b/>
        </w:rPr>
      </w:r>
      <w:r>
        <w:br w:type="page"/>
      </w:r>
    </w:p>
    <w:p>
      <w:pPr>
        <w:spacing/>
        <w:jc w:val="center"/>
        <w:rPr>
          <w:b/>
        </w:rPr>
      </w:pPr>
      <w:r>
        <w:rPr>
          <w:b/>
        </w:rPr>
        <w:t>JUSTIFICATIVA</w:t>
      </w:r>
    </w:p>
    <w:p>
      <w:pPr>
        <w:ind w:left="2835"/>
        <w:spacing w:line="283" w:lineRule="auto"/>
        <w:rPr>
          <w:color w:val="000000"/>
        </w:rPr>
      </w:pPr>
      <w:r>
        <w:rPr>
          <w:color w:val="000000"/>
        </w:rPr>
      </w:r>
    </w:p>
    <w:p>
      <w:pPr>
        <w:pStyle w:val="para4"/>
        <w:ind w:right="-1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</w:t>
      </w:r>
      <w:r>
        <w:rPr>
          <w:rFonts w:ascii="Times New Roman" w:hAnsi="Times New Roman" w:cs="Times New Roman"/>
        </w:rPr>
        <w:t xml:space="preserve">rojeto de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esolução visa constituir a Comissão Permanente de Defesa dos Direitos do Consumidor, incluindo-a no Regimento Interno desta Casa de Leis, a fim de promover a defesa dos direitos dos consumidores, privilegiando as normas regimentais, a participação da população, a elaboração de estudos e pareceres técnicos, o auxílio aos consumidores, a investigação de denúncias e encaminhamento destas, para os órgãos competentes, entre outros.</w:t>
      </w:r>
      <w:r>
        <w:rPr>
          <w:rFonts w:ascii="Times New Roman" w:hAnsi="Times New Roman" w:cs="Times New Roman"/>
        </w:rPr>
      </w:r>
    </w:p>
    <w:p>
      <w:pPr>
        <w:pStyle w:val="para4"/>
        <w:ind w:right="-1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  <w:t>Considerando o artigo 5°, inciso XXXII da Constituição Federal, que dispõe: “o Estado promoverá, na forma da lei, a defesa do consumidor”, vemos, que a aprovação do presente projeto dará efetividade ao texto constitucional, pois</w:t>
      </w:r>
      <w:r>
        <w:rPr>
          <w:rFonts w:ascii="Times New Roman" w:hAnsi="Times New Roman" w:cs="Times New Roman"/>
        </w:rPr>
        <w:t xml:space="preserve"> formulará a participação do governo municipal na proteção dos direitos do consumidor através das medidas descritas.</w:t>
      </w:r>
      <w:r>
        <w:rPr>
          <w:rFonts w:ascii="Times New Roman" w:hAnsi="Times New Roman" w:cs="Times New Roman"/>
        </w:rPr>
      </w:r>
    </w:p>
    <w:p>
      <w:pPr>
        <w:pStyle w:val="para4"/>
        <w:ind w:right="-1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  <w:t>Assim, a Comissão de Defesa dos Direitos do Consumidor possibilitará uma interlocução com a sociedade, oferece</w:t>
      </w:r>
      <w:r>
        <w:rPr>
          <w:rFonts w:ascii="Times New Roman" w:hAnsi="Times New Roman" w:cs="Times New Roman"/>
        </w:rPr>
        <w:t>ndo uma nova possibilidade de participação do povo e da Câmara Municipal de Pouso Alegre/MG, em assuntos relacionados a este importante tema, sendo mais um instrumento legislativo para fortalecer a democracia.</w:t>
      </w:r>
      <w:r>
        <w:rPr>
          <w:rFonts w:ascii="Times New Roman" w:hAnsi="Times New Roman" w:cs="Times New Roman"/>
        </w:rPr>
      </w:r>
    </w:p>
    <w:p>
      <w:pPr>
        <w:pStyle w:val="para4"/>
        <w:ind w:right="-1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  <w:t>Cumpre destacar que muitas C</w:t>
      </w:r>
      <w:r>
        <w:rPr>
          <w:rFonts w:ascii="Times New Roman" w:hAnsi="Times New Roman" w:cs="Times New Roman"/>
        </w:rPr>
        <w:t xml:space="preserve">âmaras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unicipais possuem a Comissão de Defesa dos Direitos do Consumidor dentre as suas comissões permanentes. A vista disso, constata-se que o bom funcionamento das instituições democráticas depende do concurso de todos.</w:t>
      </w:r>
      <w:r>
        <w:rPr>
          <w:rFonts w:ascii="Times New Roman" w:hAnsi="Times New Roman" w:cs="Times New Roman"/>
        </w:rPr>
      </w:r>
    </w:p>
    <w:p>
      <w:pPr>
        <w:pStyle w:val="para4"/>
        <w:ind w:right="-1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  <w:t>É importante destacar que a instalação dessa Comissão em nossa Casa de Leis reafirmará o entendimento de que é dever dos representantes atuarem em consonância com as necessidades e aspirações dos representados, além de ser mais um meio ao cidadão de busca pelos seus direitos.</w:t>
      </w:r>
    </w:p>
    <w:p>
      <w:pPr>
        <w:pStyle w:val="para4"/>
        <w:ind w:right="-1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  <w:t>Pautando-se nesses aspectos, é imprescindível o apoio dos demais membros desta laboriosa Casa Legislativa para que haja a aprovação do correspondente Projeto de R</w:t>
      </w:r>
      <w:r/>
      <w:bookmarkStart w:id="0" w:name="_GoBack"/>
      <w:bookmarkEnd w:id="0"/>
      <w:r/>
      <w:r>
        <w:rPr>
          <w:rFonts w:ascii="Times New Roman" w:hAnsi="Times New Roman" w:cs="Times New Roman"/>
        </w:rPr>
        <w:t>esolução.</w:t>
      </w:r>
      <w:r>
        <w:rPr>
          <w:rFonts w:ascii="Times New Roman" w:hAnsi="Times New Roman" w:cs="Times New Roman"/>
        </w:rPr>
      </w:r>
    </w:p>
    <w:p>
      <w:pPr>
        <w:ind w:left="567" w:right="567" w:firstLine="2835"/>
        <w:rPr>
          <w:color w:val="000000"/>
        </w:rPr>
      </w:pPr>
      <w:r>
        <w:rPr>
          <w:color w:val="000000"/>
        </w:rPr>
      </w:r>
    </w:p>
    <w:p>
      <w:pPr>
        <w:spacing/>
        <w:jc w:val="center"/>
        <w:rPr>
          <w:color w:val="000000"/>
        </w:rPr>
      </w:pPr>
      <w:r>
        <w:rPr>
          <w:color w:val="000000"/>
        </w:rPr>
        <w:t>Sala das Sessões, em 12 de agosto de 2020.</w:t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tbl>
      <w:tblPr>
        <w:tblStyle w:val="TableGrid"/>
        <w:name w:val="Tabela3"/>
        <w:tabOrder w:val="0"/>
        <w:jc w:val="left"/>
        <w:tblInd w:w="0" w:type="dxa"/>
        <w:tblW w:w="10195" w:type="dxa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>
        <w:trPr>
          <w:tblHeader w:val="0"/>
          <w:cantSplit w:val="0"/>
          <w:trHeight w:val="0" w:hRule="auto"/>
        </w:trPr>
        <w:tc>
          <w:tcPr>
            <w:tcW w:w="33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  <w:tc>
          <w:tcPr>
            <w:tcW w:w="33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  <w:tc>
          <w:tcPr>
            <w:tcW w:w="339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3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</w:rPr>
            </w:r>
          </w:p>
        </w:tc>
        <w:tc>
          <w:tcPr>
            <w:tcW w:w="339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</w:rPr>
            </w:r>
          </w:p>
        </w:tc>
      </w:tr>
    </w:tbl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tbl>
      <w:tblPr>
        <w:tblStyle w:val="TableGrid"/>
        <w:name w:val="Tabela4"/>
        <w:tabOrder w:val="0"/>
        <w:jc w:val="left"/>
        <w:tblInd w:w="0" w:type="dxa"/>
        <w:tblW w:w="10195" w:type="dxa"/>
        <w:tblLook w:val="04A0" w:firstRow="1" w:lastRow="0" w:firstColumn="1" w:lastColumn="0" w:noHBand="0" w:noVBand="1"/>
      </w:tblPr>
      <w:tblGrid>
        <w:gridCol w:w="5097"/>
        <w:gridCol w:w="5098"/>
      </w:tblGrid>
      <w:tr>
        <w:trPr>
          <w:tblHeader w:val="0"/>
          <w:cantSplit w:val="0"/>
          <w:trHeight w:val="0" w:hRule="auto"/>
        </w:trPr>
        <w:tc>
          <w:tcPr>
            <w:tcW w:w="509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  <w:tc>
          <w:tcPr>
            <w:tcW w:w="50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9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</w:rPr>
            </w:r>
          </w:p>
        </w:tc>
        <w:tc>
          <w:tcPr>
            <w:tcW w:w="50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8455216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</w:rPr>
            </w:r>
          </w:p>
        </w:tc>
      </w:tr>
    </w:tbl>
    <w:p>
      <w:pPr>
        <w:rPr>
          <w:color w:val="000000"/>
        </w:rPr>
      </w:pPr>
      <w:r>
        <w:rPr>
          <w:color w:val="000000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134" w:top="2552" w:right="567" w:bottom="1418" w:header="567" w:footer="851"/>
      <w:paperSrc w:first="0" w:other="0" a="0" b="0"/>
      <w:pgNumType w:fmt="decimal"/>
      <w:tmGutter w:val="3"/>
      <w:mirrorMargins w:val="0"/>
      <w:tmSection w:h="-2">
        <w:tmHeader w:id="0" w:h="0" edge="567" text="0">
          <w:shd w:val="none"/>
        </w:tmHeader>
        <w:tmFooter w:id="0" w:h="0" edge="851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Abadi MT Condensed"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spacing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sH1G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3"/>
                            <w:spacing/>
                            <w:jc w:val="right"/>
                            <w:rPr>
                              <w:rStyle w:val="char4"/>
                              <w:rFonts w:ascii="Abadi MT Condensed" w:hAnsi="Abadi MT Condensed"/>
                              <w:sz w:val="44"/>
                            </w:rPr>
                          </w:pPr>
                          <w:r>
                            <w:rPr>
                              <w:rStyle w:val="char4"/>
                              <w:rFonts w:ascii="Abadi MT Condensed" w:hAnsi="Abadi MT Condensed"/>
                              <w:sz w:val="44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2;mso-wrap-distance-left:0.00pt;mso-wrap-distance-top:0.00pt;mso-wrap-distance-right:0.00pt;mso-wrap-distance-bottom:0.00pt;mso-wrap-style:none" stroked="f" filled="f" v:ext="SMDATA_12_sH1G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spacing w:line="278" w:lineRule="auto"/>
      <w:tabs defTabSz="708">
        <w:tab w:val="left" w:pos="708" w:leader="none"/>
        <w:tab w:val="center" w:pos="4419" w:leader="none"/>
        <w:tab w:val="right" w:pos="8838" w:leader="none"/>
      </w:tabs>
      <w:rPr>
        <w:rFonts w:ascii="Arial" w:hAnsi="Arial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2_sH1GX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para1"/>
                          </w:pPr>
                          <w:r/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3;mso-wrap-distance-left:9.00pt;mso-wrap-distance-top:0.00pt;mso-wrap-distance-right:9.00pt;mso-wrap-distance-bottom:0.00pt;mso-wrap-style:square" strokeweight="0.75pt" strokecolor="#ffffff" fillcolor="#ffffff" v:ext="SMDATA_12_sH1GX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  <w:r>
      <w:rPr>
        <w:rFonts w:ascii="Arial" w:hAnsi="Arial"/>
        <w:lang w:val="pt-br"/>
      </w:rPr>
    </w:r>
  </w:p>
  <w:p>
    <w:pPr>
      <w:pStyle w:val="para2"/>
      <w:rPr>
        <w:sz w:val="32"/>
      </w:rPr>
    </w:pPr>
    <w:r>
      <w:rPr>
        <w:sz w:val="3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4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2"/>
      <w:tmLastPosIdx w:val="198"/>
    </w:tmLastPosCaret>
    <w:tmLastPosAnchor>
      <w:tmLastPosPgfIdx w:val="0"/>
      <w:tmLastPosIdx w:val="0"/>
    </w:tmLastPosAnchor>
    <w:tmLastPosTblRect w:left="0" w:top="0" w:right="0" w:bottom="0"/>
  </w:tmLastPos>
  <w:tmAppRevision w:date="1598455216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2"/>
    <w:qFormat/>
    <w:basedOn w:val="para0"/>
    <w:next w:val="para0"/>
    <w:pPr>
      <w:spacing w:before="240" w:after="60"/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ara2">
    <w:name w:val="Header"/>
    <w:qFormat/>
    <w:basedOn w:val="para0"/>
    <w:pPr>
      <w:tabs defTabSz="708">
        <w:tab w:val="center" w:pos="4419" w:leader="none"/>
        <w:tab w:val="right" w:pos="8838" w:leader="none"/>
      </w:tabs>
    </w:pPr>
    <w:rPr>
      <w:sz w:val="20"/>
      <w:szCs w:val="20"/>
      <w:lang w:val="pt-pt"/>
    </w:rPr>
  </w:style>
  <w:style w:type="paragraph" w:styleId="para3">
    <w:name w:val="Footer"/>
    <w:qFormat/>
    <w:basedOn w:val="para0"/>
    <w:pPr>
      <w:tabs defTabSz="708">
        <w:tab w:val="center" w:pos="4419" w:leader="none"/>
        <w:tab w:val="right" w:pos="8838" w:leader="none"/>
      </w:tabs>
    </w:pPr>
    <w:rPr>
      <w:sz w:val="20"/>
      <w:szCs w:val="20"/>
      <w:lang w:val="pt-pt"/>
    </w:rPr>
  </w:style>
  <w:style w:type="paragraph" w:styleId="para4" w:customStyle="1">
    <w:name w:val="[Normal]"/>
    <w:qFormat/>
    <w:pPr>
      <w:widowControl w:val="0"/>
    </w:pPr>
    <w:rPr>
      <w:rFonts w:ascii="Arial" w:hAnsi="Arial" w:eastAsia="Arial" w:cs="Arial"/>
      <w:sz w:val="24"/>
      <w:lang w:val="pt-br" w:bidi="ar-sa"/>
    </w:rPr>
  </w:style>
  <w:style w:type="character" w:styleId="char0" w:default="1">
    <w:name w:val="Default Paragraph Font"/>
  </w:style>
  <w:style w:type="character" w:styleId="char1" w:customStyle="1">
    <w:name w:val="Título 2 Char"/>
    <w:basedOn w:val="char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har2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char3" w:customStyle="1">
    <w:name w:val="Rodapé Char"/>
    <w:basedOn w:val="char0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char4">
    <w:name w:val="Page Numbe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2"/>
    <w:qFormat/>
    <w:basedOn w:val="para0"/>
    <w:next w:val="para0"/>
    <w:pPr>
      <w:spacing w:before="240" w:after="60"/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ara2">
    <w:name w:val="Header"/>
    <w:qFormat/>
    <w:basedOn w:val="para0"/>
    <w:pPr>
      <w:tabs defTabSz="708">
        <w:tab w:val="center" w:pos="4419" w:leader="none"/>
        <w:tab w:val="right" w:pos="8838" w:leader="none"/>
      </w:tabs>
    </w:pPr>
    <w:rPr>
      <w:sz w:val="20"/>
      <w:szCs w:val="20"/>
      <w:lang w:val="pt-pt"/>
    </w:rPr>
  </w:style>
  <w:style w:type="paragraph" w:styleId="para3">
    <w:name w:val="Footer"/>
    <w:qFormat/>
    <w:basedOn w:val="para0"/>
    <w:pPr>
      <w:tabs defTabSz="708">
        <w:tab w:val="center" w:pos="4419" w:leader="none"/>
        <w:tab w:val="right" w:pos="8838" w:leader="none"/>
      </w:tabs>
    </w:pPr>
    <w:rPr>
      <w:sz w:val="20"/>
      <w:szCs w:val="20"/>
      <w:lang w:val="pt-pt"/>
    </w:rPr>
  </w:style>
  <w:style w:type="paragraph" w:styleId="para4" w:customStyle="1">
    <w:name w:val="[Normal]"/>
    <w:qFormat/>
    <w:pPr>
      <w:widowControl w:val="0"/>
    </w:pPr>
    <w:rPr>
      <w:rFonts w:ascii="Arial" w:hAnsi="Arial" w:eastAsia="Arial" w:cs="Arial"/>
      <w:sz w:val="24"/>
      <w:lang w:val="pt-br" w:bidi="ar-sa"/>
    </w:rPr>
  </w:style>
  <w:style w:type="character" w:styleId="char0" w:default="1">
    <w:name w:val="Default Paragraph Font"/>
  </w:style>
  <w:style w:type="character" w:styleId="char1" w:customStyle="1">
    <w:name w:val="Título 2 Char"/>
    <w:basedOn w:val="char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har2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char3" w:customStyle="1">
    <w:name w:val="Rodapé Char"/>
    <w:basedOn w:val="char0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char4">
    <w:name w:val="Page Numbe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/>
  <cp:revision>5</cp:revision>
  <dcterms:created xsi:type="dcterms:W3CDTF">2020-02-06T18:54:00Z</dcterms:created>
  <dcterms:modified xsi:type="dcterms:W3CDTF">2020-08-26T15:20:16Z</dcterms:modified>
</cp:coreProperties>
</file>