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Campanha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MOÇÃO DE PESAR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Esta Casa de Leis manifesta profundo pesar pelo falecimento do Sr. George Floyd, acompanhamos no Brasil, com grande consternação, as cenas dessa violência que levou George ao óbito. No Brasil, a situação é extremamente grave e se assemelha ao ocorrido, visto que segundo o anuário da violência, que compila e analisa dados de registros policiais sobre criminalidade, sistema prisional e gastos com segurança pública no Brasil, em 2019 o levantamento indicou que 75,4% das vítimas do sistema policial eram negras, situação claramente agravada pela postura e política discriminatória e violenta contra as comunidades do Brasil. Por isso, nos solidarizando com os familiares e reafirmamos a importância da luta em defesa do fim da violência e do racismo no Brasil e em todo o mundo.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junho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