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653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finalização da obra de pavimentação da Rua Paris,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37C4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pelas reivindicações feitas pelos moradores, uma vez que a não finalização da obra causa transtornos e indignação a todos.</w:t>
      </w:r>
    </w:p>
    <w:p w:rsidR="00737C4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37C4C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1.5pt;margin-top:8.8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2020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10" w:rsidRDefault="00743510" w:rsidP="007F393F">
      <w:r>
        <w:separator/>
      </w:r>
    </w:p>
  </w:endnote>
  <w:endnote w:type="continuationSeparator" w:id="0">
    <w:p w:rsidR="00743510" w:rsidRDefault="0074351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435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35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4351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35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10" w:rsidRDefault="00743510" w:rsidP="007F393F">
      <w:r>
        <w:separator/>
      </w:r>
    </w:p>
  </w:footnote>
  <w:footnote w:type="continuationSeparator" w:id="0">
    <w:p w:rsidR="00743510" w:rsidRDefault="0074351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35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351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4351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4351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35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37C4C"/>
    <w:rsid w:val="007403B6"/>
    <w:rsid w:val="00740661"/>
    <w:rsid w:val="007408F2"/>
    <w:rsid w:val="00741933"/>
    <w:rsid w:val="00742274"/>
    <w:rsid w:val="00743510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CFC3-3294-49D0-8AD0-CC6C1499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2020-05-18T20:44:00Z</dcterms:modified>
</cp:coreProperties>
</file>