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39</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seja realizada a instalação de lâmpadas de LED na Rua Maria Divina Soares, localizada no Bairro São Geraldo.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local carece de instalação de lâmpadas de LED, em caráter de urgência, tendo em vista ser uma região onde ocorre assaltos, acarretando no aumento da criminalidade no Bairro São Geraldo.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Oliveira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