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que seja realizada a notificação do proprietário ou a devida remoção de veículo abandonado em um terreno, que está situado na Avenida João Baptista Piffer, em frente ao número 137,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avenida existe determinado veículo abandonado, em um terreno, há algum tempo. Não há informações se o terreno é público ou particular, razão pela qual solicita-se a averiguação pelo poder público municipal, a fim de realizar a notificação do proprietário para que tome as providências cabíveis em relação ao veículo em estado avançado de deterioração ou, em se tratando de terreno público, que seja realizada a própria remoção pelo poder executivo. É importante destacar que veículos abandonados, mesmo que em propriedade particular, constituem causa de doenças, ameaçando todos os habitantes.  Por outro lado, a ocupação indevida e abusiva do espaço público por carros abandonados incomoda os moradores, atrapalha a mobilidade urbana e, também, causa ameaça à saúde.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Ademais, em se tratando de imóvel particular, destaca-se que a propriedade urbana apenas cumpre a sua função social quando atende às exigências fundamentais de ordenação da cidade, segundo o § 1º do art. 199 da Lei Orgânica Municipal – LOM. Logo, a notificação do proprietário, para que tome providências quanto ao veículo, propiciará à propriedade o exercício de sua função social e a devida adequação urbana, em prol da saúde e bem-estar de todos.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saúde e bem-estar à população, conferir uma aparência mais agradável à nossa cidade, além de favorecer a função social da propriedade e a mobilidade urbana,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