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o estudo de viabilidade em realizar o calçamento dos pontos mais críticos nas estradas rurais (aclives), em especial na estrada que dá acesso ao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às reivindicações feitas pelos moradores de bairros rurais, tendo em vista que encontram dificuldades para trafegarem pela estrada em dias com o clima muito úmido ou muito seco, devido a formação excessiva de lama e poeira, principalmente nos pontos de aclive, dificultando, assim, o trânsito de veículos. Desta forma, para melhorar as condições de vivência nos bairros rurais e facilitar a locomoção dos moradores, seria de grande valia a realização de calçamento nesses locais mais críticos, proporcionando, por conseguinte, mais qualidade de vida e segurança à população, em especial aos motoristas.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10.257, de 10 de julho de 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Ademais, a boa infraestrutura das estradas rurais tende a favorecer o escoamento de produtos agrícolas, contribuindo, indubitavelmente, com o trabalho e o sustento dos trabalhadores rurais, sendo competência do Município estabelecer uma política rural que viabilize a vida e o serviço no campo, em consonância com os artigos 222 e seguintes da Lei Orgânica do Município – LOM.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Portanto, resta evidente que a presente solicitação se inspira no interesse público, merecendo a acolhida do Poder Executivo, nos termos do artigo 61 da LOM. Assim, visando proporcionar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