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a instalação de parque infantil para lazer e recreação das crianças do bairro dos Ferreiras.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reivindicações feitas pelos moradores do bairro, que não possuem uma área de lazer para a distração e o divertimento de seus filhos. É inegável a existência de bairros mais privilegiados, que comportam área de lazer e parques infantis, enquanto outros ficam defasados, sem nenhuma comodidade aos moradores, principalmente no âmbito da zona rural. Tal fato demonstra a desigualdade de tratamento e a discriminação para com as crianças e a população em geral. Assim, visando amenizar essa situação desproporcional, os moradores do bairro dos Ferreiras também pleiteiam a instalação de parque infantil, em prol do lazer de todas as crianças.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Cumpre destacar que de acordo com o artigo 174 da Lei Orgânica do Município - LOM, o lazer constitui forma de promoção social do cidadão, sendo dever do Município promover, estimular, orientar e apoiar sua prática, observando especificamente as atribuições previstas no § 2º do artigo supracitado.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Desta forma, resta evidente que a presente solicitação se inspira no interesse público, merecendo a acolhida do Poder Executivo, em consonância com o artigo 61 da LOM. Assim, visando garantir condições de vida igualitárias para a população, além de proporcionar alegria e lazer a todas as crianças,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