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parque infantil para o lazer e recreação das crianças do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pelos moradores do bairro, que não possuem uma área de lazer para a distração e o divertimento de seus filhos. É inegável a existência de bairros mais privilegiados, que comportam área de lazer e parques infantis, enquanto outros ficam defasados, sem nenhuma comodidade aos moradores, principalmente no âmbito da zona rural. Tal fato demonstra a desigualdade de tratamento e a discriminação para com as crianças e a população em geral. Assim, visando amenizar essa situação desproporcional, os moradores do bairro algodão também pleiteiam a instalação de parque infantil, em prol do lazer de todas as crianças.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destacar que de acordo com o artigo 174 da Lei Orgânica do Município - LOM, o lazer constitui forma de promoção social do cidadão, sendo dever do Município promover, estimular, orientar e apoiar sua prática, observando especificamente as atribuições previstas no § 2º do artigo supracitado.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se inspira no interesse público, merecendo a acolhida do Poder Executivo, em consonância com o artigo 61 da LOM. Assim, visando garantir condições de vida igualitárias para a população, além de proporcionar alegria e lazer a todas as crianças,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