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Avenida Ivo Guersoni,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72FC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avenida existe um veículo abandonado há algum tempo. A ocupação indevida e abusiva do espaço público por carros abandonados incomoda os moradores, atrapalha a mobilidade urbana e causa ameaça à saúde.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 Portanto, considerando que o veículo mencionado satisfaz os requisitos presentes na legislação (imagens anexas), cumpre ao poder público municipal, utilizando-se dos in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strumentos legais disponíveis, realizar a respectiva remoção, favorecendo, assim, a mobilidade urbana, além de conferir uma aparência mais agradável à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272FC1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3.4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D8" w:rsidRDefault="005130D8" w:rsidP="007F393F">
      <w:r>
        <w:separator/>
      </w:r>
    </w:p>
  </w:endnote>
  <w:endnote w:type="continuationSeparator" w:id="0">
    <w:p w:rsidR="005130D8" w:rsidRDefault="005130D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130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30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130D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30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D8" w:rsidRDefault="005130D8" w:rsidP="007F393F">
      <w:r>
        <w:separator/>
      </w:r>
    </w:p>
  </w:footnote>
  <w:footnote w:type="continuationSeparator" w:id="0">
    <w:p w:rsidR="005130D8" w:rsidRDefault="005130D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3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130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130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130D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130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2FC1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0D8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75E5-F8E3-4FC0-8F90-454B81CE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2019-10-11T16:45:00Z</dcterms:modified>
</cp:coreProperties>
</file>