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José Marchetti, no bairro Nossa Senhora de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533A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  <w:bookmarkStart w:id="0" w:name="_GoBack"/>
      <w:bookmarkEnd w:id="0"/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r w:rsidR="00C533A9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(imagens anexas), cumpre ao poder público municipal, utilizando-se dos instrumentos legais disponíveis, realizar a respectiva remoção, favorecendo, assim, a mobilidade urbana, além de conferir uma aparência mais agradável à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C533A9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25pt;margin-top:11.2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F5" w:rsidRDefault="001434F5" w:rsidP="007F393F">
      <w:r>
        <w:separator/>
      </w:r>
    </w:p>
  </w:endnote>
  <w:endnote w:type="continuationSeparator" w:id="0">
    <w:p w:rsidR="001434F5" w:rsidRDefault="001434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434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34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434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34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F5" w:rsidRDefault="001434F5" w:rsidP="007F393F">
      <w:r>
        <w:separator/>
      </w:r>
    </w:p>
  </w:footnote>
  <w:footnote w:type="continuationSeparator" w:id="0">
    <w:p w:rsidR="001434F5" w:rsidRDefault="001434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34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34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434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434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3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4F5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3A9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B70E-0B4D-4F30-AE3C-88CCF4DF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2019-10-11T16:39:00Z</dcterms:modified>
</cp:coreProperties>
</file>