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85DC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avenida existe um veículo abandonado há algum tempo. A ocupação indevida e abusiva do espaço público por carros abandonados incomoda os moradores, atrapalha a mobilidade urbana e causa ameaça à saúde.</w:t>
      </w:r>
    </w:p>
    <w:p w:rsidR="00285DC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285DC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 e conferindo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85DC5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3pt;margin-top:7.8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85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61" w:rsidRDefault="00243461" w:rsidP="007F393F">
      <w:r>
        <w:separator/>
      </w:r>
    </w:p>
  </w:endnote>
  <w:endnote w:type="continuationSeparator" w:id="0">
    <w:p w:rsidR="00243461" w:rsidRDefault="0024346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434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34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434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61" w:rsidRDefault="00243461" w:rsidP="007F393F">
      <w:r>
        <w:separator/>
      </w:r>
    </w:p>
  </w:footnote>
  <w:footnote w:type="continuationSeparator" w:id="0">
    <w:p w:rsidR="00243461" w:rsidRDefault="0024346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34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346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2434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434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34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461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5DC5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B89-F9F1-43E5-9ADB-157725E3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2019-09-02T17:06:00Z</dcterms:modified>
</cp:coreProperties>
</file>