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5" w:rsidRPr="00B362C5" w:rsidRDefault="00B362C5" w:rsidP="00B362C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PROJETO DE LEI Nº 1022</w:t>
      </w:r>
      <w:r w:rsidRPr="00B362C5">
        <w:rPr>
          <w:rFonts w:ascii="Times New Roman" w:hAnsi="Times New Roman"/>
          <w:b/>
          <w:sz w:val="24"/>
          <w:szCs w:val="24"/>
        </w:rPr>
        <w:t xml:space="preserve"> /</w:t>
      </w:r>
      <w:r w:rsidRPr="00B362C5">
        <w:rPr>
          <w:rFonts w:ascii="Times New Roman" w:hAnsi="Times New Roman"/>
          <w:b/>
          <w:sz w:val="24"/>
          <w:szCs w:val="24"/>
        </w:rPr>
        <w:t xml:space="preserve"> 2019</w:t>
      </w: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tabs>
          <w:tab w:val="left" w:pos="5245"/>
        </w:tabs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B362C5">
        <w:rPr>
          <w:rFonts w:ascii="Times New Roman" w:hAnsi="Times New Roman"/>
          <w:b/>
          <w:iCs/>
          <w:sz w:val="24"/>
          <w:szCs w:val="24"/>
          <w:bdr w:val="none" w:sz="0" w:space="0" w:color="auto" w:frame="1"/>
        </w:rPr>
        <w:t>DESAFETA OS BENS IMÓVEIS QUE MENCIONA E AUTORIZA O PODER EXECUTIVO A ALIENÁ-LOS PARA O ATENDIMENTO DE FINALIDADE SOCIAL.</w:t>
      </w:r>
    </w:p>
    <w:p w:rsidR="00B362C5" w:rsidRPr="00B362C5" w:rsidRDefault="00B362C5" w:rsidP="00B362C5">
      <w:pPr>
        <w:pStyle w:val="SemEspaamento"/>
        <w:tabs>
          <w:tab w:val="left" w:pos="5245"/>
        </w:tabs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B362C5" w:rsidRPr="00B362C5" w:rsidRDefault="00B362C5" w:rsidP="00B362C5">
      <w:pPr>
        <w:pStyle w:val="SemEspaamento"/>
        <w:tabs>
          <w:tab w:val="left" w:pos="5245"/>
        </w:tabs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B362C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2C5">
        <w:rPr>
          <w:rFonts w:ascii="Times New Roman" w:hAnsi="Times New Roman"/>
          <w:sz w:val="24"/>
          <w:szCs w:val="24"/>
        </w:rPr>
        <w:t>Ficam desafetadas e desmembradas as áreas institucionais situadas no bairro São João, com área de 30.403,62 m² (denominada Área 02 do projeto), e 1.851,42 m² (denominada Área 03 do projeto) subtraídas de uma área maior com total de 98.000,00 m², conforme consta no Cartório de Registro de Imóveis na matrícula nº 26.718, livro dois (02), fls. 1, com as seguintes medidas e confrontações: 333,00 metros de frente, em divisas com o loteamento Bela Vista e as casas do Projeto João de Barro; 235,00 metros com área de residências localizadas na rua Três Corações; 479,00 metros em córrego que divide a área dos mesmos proprietários e, finalmente, 321,00 metros em divisas com Antônio Nascimento de Paula.</w:t>
      </w:r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Art. 2º</w:t>
      </w:r>
      <w:r w:rsidRPr="00B362C5">
        <w:rPr>
          <w:rFonts w:ascii="Times New Roman" w:hAnsi="Times New Roman"/>
          <w:sz w:val="24"/>
          <w:szCs w:val="24"/>
        </w:rPr>
        <w:t xml:space="preserve"> Fica desafetada e desmembrada a área institucional de 18.500,00 m² situada no bairro São João, subtraída de uma área maior com total de 30.000,00 m², no lugar denominado ‘Gambá’, registrada no Cartório de Registro de Imóveis na matrícula nº 92.571, livro dois (02), ficha 01, com as seguintes medidas e confrontações: inicia no M1, nas divisas da avenida Três Corações (canteiro central) e a Prefeitura Municipal de Pouso Alegre com rumo 05º44’47”SW, segue dividindo com a Prefeitura por uma distância de 251,83m, até o M2 rumo 73º07’54”SW, divisa de José Frederico da Rosa. Faz canto à direita e segue dividindo com este por uma distância de 216,55m até o M3 rumo 16º52’06”NW, faz canto a direita confrontando ainda com José Frederico da Rosa até o M4 por uma distância de 141,24m rumo 83º21’24”NE, onde se encontra o loteamento residencial Santa Adélia. Faz canto à direita e segue dividindo com o loteamento até o M5, por uma distância de 77,10m rumo 16º52’06”SE, onde se encontra a rua existente. Faz canto à direita e segue dividindo com a rua até o seu final no M6 por uma distância de 28,73 rumo 73º08’59”NE. Faz canto à esquerda atravessando perpendicularmente pela rua depois encontra a área institucional seguindo a área verde do loteamento residencial Santa Adélia e por fim outra rua do loteamento por uma distância de 157,57m até o M7 rumo 03º30’58”NE. Faz canto à esquerda e segue dividindo com a rua até o M8 por uma distância de 158,59m rumo 75º15’14”SE, onde encontra o alinhamento do canteiro central da avenida Três Corações, dentro da rotatória do CAIC São João. Faz canto à direita e segue pelo canteiro central por uma distância de 28,91m, onde teve início e finda esta descrição.</w:t>
      </w: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Art. 3º</w:t>
      </w:r>
      <w:r w:rsidRPr="00B362C5">
        <w:rPr>
          <w:rFonts w:ascii="Times New Roman" w:hAnsi="Times New Roman"/>
          <w:sz w:val="24"/>
          <w:szCs w:val="24"/>
        </w:rPr>
        <w:t xml:space="preserve"> Fica o Poder Executivo autorizado a alienar as áreas descritas nos artigos 1º e 2º tendo como finalidade a construção de uma escola no Bairro Jardim Aeroporto e a construção de um prédio de 12 (doze) apartamentos para abrigar famílias, consoante transação no processo n°5000808-30.2018.8.13.0525.</w:t>
      </w:r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§ 1º</w:t>
      </w:r>
      <w:r w:rsidRPr="00B362C5">
        <w:rPr>
          <w:rFonts w:ascii="Times New Roman" w:hAnsi="Times New Roman"/>
          <w:sz w:val="24"/>
          <w:szCs w:val="24"/>
        </w:rPr>
        <w:t xml:space="preserve"> A alienação poderá se dar por meio de permuta por imóveis edificados ou não, ou por edificações a construir mediante chamamento público, como mecanismo de prospecção de mercado, com atendimento aos princípios da impessoalidade, moralidade e publicidade.</w:t>
      </w:r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§ 2º</w:t>
      </w:r>
      <w:r w:rsidRPr="00B362C5">
        <w:rPr>
          <w:rFonts w:ascii="Times New Roman" w:hAnsi="Times New Roman"/>
          <w:sz w:val="24"/>
          <w:szCs w:val="24"/>
        </w:rPr>
        <w:t xml:space="preserve"> Caso o chamamento público realizado na forma do § 1º resultar em mais de uma proposta, o Município promoverá, observada a mais vantajosa aos seus interesses, a contratação direta, mediante dispensa de licitação, condicionada ao atendimento dos requisitos constantes do art. 24, inciso X, da Lei 8.666/1993, ou o procedimento licitatório, nos termos do art. 17, inciso I, da Lei 8.666/1993.</w:t>
      </w:r>
      <w:bookmarkStart w:id="0" w:name="art30§1"/>
      <w:bookmarkEnd w:id="0"/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Art.</w:t>
      </w:r>
      <w:r w:rsidRPr="00B362C5">
        <w:rPr>
          <w:rFonts w:ascii="Times New Roman" w:hAnsi="Times New Roman"/>
          <w:b/>
          <w:sz w:val="24"/>
          <w:szCs w:val="24"/>
        </w:rPr>
        <w:t xml:space="preserve"> </w:t>
      </w:r>
      <w:r w:rsidRPr="00B362C5">
        <w:rPr>
          <w:rFonts w:ascii="Times New Roman" w:hAnsi="Times New Roman"/>
          <w:b/>
          <w:sz w:val="24"/>
          <w:szCs w:val="24"/>
        </w:rPr>
        <w:t>4º</w:t>
      </w:r>
      <w:r w:rsidRPr="00B362C5">
        <w:rPr>
          <w:rFonts w:ascii="Times New Roman" w:hAnsi="Times New Roman"/>
          <w:sz w:val="24"/>
          <w:szCs w:val="24"/>
        </w:rPr>
        <w:t xml:space="preserve"> Não haverá despesas decorrentes desta Lei, conforme anexo I.</w:t>
      </w:r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Art.</w:t>
      </w:r>
      <w:r w:rsidRPr="00B362C5">
        <w:rPr>
          <w:rFonts w:ascii="Times New Roman" w:hAnsi="Times New Roman"/>
          <w:b/>
          <w:sz w:val="24"/>
          <w:szCs w:val="24"/>
        </w:rPr>
        <w:t xml:space="preserve"> </w:t>
      </w:r>
      <w:r w:rsidRPr="00B362C5">
        <w:rPr>
          <w:rFonts w:ascii="Times New Roman" w:hAnsi="Times New Roman"/>
          <w:b/>
          <w:sz w:val="24"/>
          <w:szCs w:val="24"/>
        </w:rPr>
        <w:t>5º</w:t>
      </w:r>
      <w:r w:rsidRPr="00B362C5">
        <w:rPr>
          <w:rFonts w:ascii="Times New Roman" w:hAnsi="Times New Roman"/>
          <w:sz w:val="24"/>
          <w:szCs w:val="24"/>
        </w:rPr>
        <w:t xml:space="preserve"> Revogam-se as disposições em contrário. </w:t>
      </w:r>
    </w:p>
    <w:p w:rsid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2C5">
        <w:rPr>
          <w:rFonts w:ascii="Times New Roman" w:hAnsi="Times New Roman"/>
          <w:b/>
          <w:sz w:val="24"/>
          <w:szCs w:val="24"/>
        </w:rPr>
        <w:t>Art.</w:t>
      </w:r>
      <w:r w:rsidRPr="00B362C5">
        <w:rPr>
          <w:rFonts w:ascii="Times New Roman" w:hAnsi="Times New Roman"/>
          <w:b/>
          <w:sz w:val="24"/>
          <w:szCs w:val="24"/>
        </w:rPr>
        <w:t xml:space="preserve"> </w:t>
      </w:r>
      <w:r w:rsidRPr="00B362C5">
        <w:rPr>
          <w:rFonts w:ascii="Times New Roman" w:hAnsi="Times New Roman"/>
          <w:b/>
          <w:sz w:val="24"/>
          <w:szCs w:val="24"/>
        </w:rPr>
        <w:t>6º</w:t>
      </w:r>
      <w:r w:rsidRPr="00B362C5">
        <w:rPr>
          <w:rFonts w:ascii="Times New Roman" w:hAnsi="Times New Roman"/>
          <w:sz w:val="24"/>
          <w:szCs w:val="24"/>
        </w:rPr>
        <w:t xml:space="preserve"> Esta</w:t>
      </w:r>
      <w:r w:rsidR="003E08BA">
        <w:rPr>
          <w:rFonts w:ascii="Times New Roman" w:hAnsi="Times New Roman"/>
          <w:sz w:val="24"/>
          <w:szCs w:val="24"/>
        </w:rPr>
        <w:t xml:space="preserve"> L</w:t>
      </w:r>
      <w:r w:rsidRPr="00B362C5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B362C5" w:rsidRPr="00B362C5" w:rsidRDefault="00B362C5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362C5" w:rsidRDefault="00B362C5" w:rsidP="00B362C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362C5" w:rsidRDefault="00B362C5" w:rsidP="00B362C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362C5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16</w:t>
      </w:r>
      <w:r w:rsidRPr="00B362C5">
        <w:rPr>
          <w:rFonts w:ascii="Times New Roman" w:hAnsi="Times New Roman"/>
          <w:sz w:val="24"/>
          <w:szCs w:val="24"/>
        </w:rPr>
        <w:t xml:space="preserve"> de julho de 2019.</w:t>
      </w:r>
    </w:p>
    <w:p w:rsidR="00B362C5" w:rsidRDefault="00B362C5" w:rsidP="00B362C5">
      <w:pPr>
        <w:pStyle w:val="SemEspaamento"/>
        <w:rPr>
          <w:rFonts w:ascii="Times New Roman" w:hAnsi="Times New Roman"/>
          <w:sz w:val="24"/>
          <w:szCs w:val="24"/>
        </w:rPr>
      </w:pPr>
    </w:p>
    <w:p w:rsidR="00B362C5" w:rsidRDefault="00B362C5" w:rsidP="00B362C5">
      <w:pPr>
        <w:pStyle w:val="SemEspaamento"/>
        <w:rPr>
          <w:rFonts w:ascii="Times New Roman" w:hAnsi="Times New Roman"/>
          <w:sz w:val="24"/>
          <w:szCs w:val="24"/>
        </w:rPr>
      </w:pPr>
    </w:p>
    <w:p w:rsidR="00B362C5" w:rsidRDefault="00B362C5" w:rsidP="00B362C5">
      <w:pPr>
        <w:pStyle w:val="SemEspaamento"/>
        <w:rPr>
          <w:rFonts w:ascii="Times New Roman" w:hAnsi="Times New Roman"/>
          <w:sz w:val="24"/>
          <w:szCs w:val="24"/>
        </w:rPr>
      </w:pPr>
    </w:p>
    <w:p w:rsidR="00B362C5" w:rsidRDefault="00B362C5" w:rsidP="00B362C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62C5" w:rsidTr="00B362C5">
        <w:tc>
          <w:tcPr>
            <w:tcW w:w="5097" w:type="dxa"/>
          </w:tcPr>
          <w:p w:rsidR="00B362C5" w:rsidRDefault="00B362C5" w:rsidP="00B362C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B362C5" w:rsidRDefault="00B362C5" w:rsidP="00B362C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B362C5" w:rsidTr="00B362C5">
        <w:tc>
          <w:tcPr>
            <w:tcW w:w="5097" w:type="dxa"/>
          </w:tcPr>
          <w:p w:rsidR="00B362C5" w:rsidRPr="00B362C5" w:rsidRDefault="00B362C5" w:rsidP="00B362C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2C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362C5" w:rsidRPr="00B362C5" w:rsidRDefault="00B362C5" w:rsidP="00B362C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2C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362C5" w:rsidRPr="00B362C5" w:rsidRDefault="00B362C5" w:rsidP="00B362C5">
      <w:pPr>
        <w:pStyle w:val="SemEspaamento"/>
        <w:rPr>
          <w:rFonts w:ascii="Times New Roman" w:hAnsi="Times New Roman"/>
          <w:sz w:val="24"/>
          <w:szCs w:val="24"/>
        </w:rPr>
      </w:pPr>
    </w:p>
    <w:p w:rsidR="00A136C1" w:rsidRPr="00B362C5" w:rsidRDefault="00A136C1" w:rsidP="00B362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A136C1" w:rsidRPr="00B362C5" w:rsidSect="00B362C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C5"/>
    <w:rsid w:val="003E08BA"/>
    <w:rsid w:val="004360AC"/>
    <w:rsid w:val="00A136C1"/>
    <w:rsid w:val="00B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4E81A-A6E5-4423-9AC2-9401CC6B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362C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3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2019-07-17T15:33:00Z</dcterms:created>
  <dcterms:modified xsi:type="dcterms:W3CDTF">2019-07-17T15:46:00Z</dcterms:modified>
</cp:coreProperties>
</file>