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0E" w:rsidRPr="005F000E" w:rsidRDefault="005F000E" w:rsidP="005F000E">
      <w:pPr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F000E">
        <w:rPr>
          <w:rFonts w:ascii="Times New Roman" w:eastAsia="Times New Roman" w:hAnsi="Times New Roman"/>
          <w:b/>
          <w:bCs/>
          <w:sz w:val="24"/>
          <w:szCs w:val="24"/>
        </w:rPr>
        <w:t>PROJETO DE LEI Nº 1.018</w:t>
      </w:r>
      <w:r w:rsidRPr="005F000E">
        <w:rPr>
          <w:rFonts w:ascii="Times New Roman" w:eastAsia="Times New Roman" w:hAnsi="Times New Roman"/>
          <w:b/>
          <w:bCs/>
          <w:sz w:val="24"/>
          <w:szCs w:val="24"/>
        </w:rPr>
        <w:t xml:space="preserve"> /</w:t>
      </w:r>
      <w:r w:rsidRPr="005F000E">
        <w:rPr>
          <w:rFonts w:ascii="Times New Roman" w:eastAsia="Times New Roman" w:hAnsi="Times New Roman"/>
          <w:b/>
          <w:bCs/>
          <w:sz w:val="24"/>
          <w:szCs w:val="24"/>
        </w:rPr>
        <w:t xml:space="preserve"> 2019</w:t>
      </w:r>
    </w:p>
    <w:p w:rsidR="005F000E" w:rsidRPr="005F000E" w:rsidRDefault="005F000E" w:rsidP="005F000E">
      <w:pPr>
        <w:spacing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5F000E">
        <w:rPr>
          <w:rFonts w:ascii="Times New Roman" w:hAnsi="Times New Roman"/>
          <w:b/>
          <w:sz w:val="24"/>
          <w:szCs w:val="24"/>
        </w:rPr>
        <w:t>ALTERA A REDAÇÃO DA LEI MUNICIPAL Nº 5.604, DE 24 DE AGOSTO DE 2015, QUE DISPÕE SOBRE A REGULARIZAÇÃO DE CONSTRUÇÕES IRREGULARES OU NÃO LICENCIADAS PELA PREFEITURA MUNICIPAL DE POUSO ALEGRE E DÁ OUTRAS PROVIDÊNCIAS.</w:t>
      </w:r>
    </w:p>
    <w:p w:rsidR="005F000E" w:rsidRPr="005F000E" w:rsidRDefault="005F000E" w:rsidP="005F000E">
      <w:pPr>
        <w:spacing w:line="240" w:lineRule="auto"/>
        <w:ind w:left="4536"/>
        <w:jc w:val="both"/>
        <w:rPr>
          <w:rFonts w:ascii="Times New Roman" w:eastAsia="Times New Roman" w:hAnsi="Times New Roman"/>
          <w:sz w:val="20"/>
          <w:szCs w:val="20"/>
        </w:rPr>
      </w:pPr>
      <w:r w:rsidRPr="005F000E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5F000E" w:rsidRDefault="005F000E" w:rsidP="005F000E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5F000E" w:rsidRPr="005F000E" w:rsidRDefault="005F000E" w:rsidP="005F000E">
      <w:pPr>
        <w:spacing w:before="2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F000E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5F000E" w:rsidRPr="005F000E" w:rsidRDefault="005F000E" w:rsidP="005F000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b/>
          <w:sz w:val="24"/>
          <w:szCs w:val="24"/>
        </w:rPr>
        <w:t>Art. 1º</w:t>
      </w:r>
      <w:r w:rsidRPr="005F000E">
        <w:rPr>
          <w:rFonts w:ascii="Times New Roman" w:hAnsi="Times New Roman"/>
          <w:sz w:val="24"/>
          <w:szCs w:val="24"/>
        </w:rPr>
        <w:t xml:space="preserve"> A Lei Municipal nº 5.604, de 24 de agosto de 2015, passa a vigorar com as seguintes alterações: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“Art. 1º.....................................................................................................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§ 1º. Apenas obras iniciadas até 30/06/2019 serão beneficiadas por esta lei ”. (NR)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“Art. 3º.....................................................................................................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Parágrafo único: As medidas mitigatórias serão apresentadas pelo proprietário, com o respectivo cronograma de execução de obras, para análise e aprovação da Secretaria Municipal de Planejamento Urbano e Meio Ambiente, devendo constar no Termo de Ajustamento de Conduta (TAC</w:t>
      </w:r>
      <w:proofErr w:type="gramStart"/>
      <w:r w:rsidRPr="005F000E">
        <w:rPr>
          <w:rFonts w:ascii="Times New Roman" w:hAnsi="Times New Roman"/>
          <w:sz w:val="24"/>
          <w:szCs w:val="24"/>
        </w:rPr>
        <w:t>).”</w:t>
      </w:r>
      <w:proofErr w:type="gramEnd"/>
      <w:r w:rsidRPr="005F000E">
        <w:rPr>
          <w:rFonts w:ascii="Times New Roman" w:hAnsi="Times New Roman"/>
          <w:sz w:val="24"/>
          <w:szCs w:val="24"/>
        </w:rPr>
        <w:t xml:space="preserve"> (NR)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“Art. 6º.....................................................................................................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 xml:space="preserve">VII - sejam objeto de ação judicial relacionada à sua regularidade, ressalvados os casos de expresso pedido de desistência da </w:t>
      </w:r>
      <w:proofErr w:type="gramStart"/>
      <w:r w:rsidRPr="005F000E">
        <w:rPr>
          <w:rFonts w:ascii="Times New Roman" w:hAnsi="Times New Roman"/>
          <w:sz w:val="24"/>
          <w:szCs w:val="24"/>
        </w:rPr>
        <w:t>ação.”</w:t>
      </w:r>
      <w:proofErr w:type="gramEnd"/>
      <w:r w:rsidRPr="005F000E">
        <w:rPr>
          <w:rFonts w:ascii="Times New Roman" w:hAnsi="Times New Roman"/>
          <w:sz w:val="24"/>
          <w:szCs w:val="24"/>
        </w:rPr>
        <w:t xml:space="preserve"> 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“Art. 8º.....................................................................................................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 xml:space="preserve">II - comprovante de que a construção foi iniciada ou concluída até 30/06/2019, ou manifestação da Secretaria Municipal de Planejamento Urbano e Meio Ambiente, para os casos de obras em execução, não sendo aceitos comprovantes de luz e </w:t>
      </w:r>
      <w:proofErr w:type="gramStart"/>
      <w:r w:rsidRPr="005F000E">
        <w:rPr>
          <w:rFonts w:ascii="Times New Roman" w:hAnsi="Times New Roman"/>
          <w:sz w:val="24"/>
          <w:szCs w:val="24"/>
        </w:rPr>
        <w:t>água;..................</w:t>
      </w:r>
      <w:proofErr w:type="gramEnd"/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VII - ........................................................................................................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lastRenderedPageBreak/>
        <w:t>d) quitação de multas relacionadas ao imóvel, quando houver.....................................................................................................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 xml:space="preserve">§ 2º Na hipótese do § 1º, o interessado será notificado a prestar esclarecimentos no prazo de 30 (trinta) dias, sob pena de arquivamento do processo </w:t>
      </w:r>
      <w:proofErr w:type="gramStart"/>
      <w:r w:rsidRPr="005F000E">
        <w:rPr>
          <w:rFonts w:ascii="Times New Roman" w:hAnsi="Times New Roman"/>
          <w:sz w:val="24"/>
          <w:szCs w:val="24"/>
        </w:rPr>
        <w:t>administrativo.”</w:t>
      </w:r>
      <w:proofErr w:type="gramEnd"/>
      <w:r w:rsidRPr="005F000E">
        <w:rPr>
          <w:rFonts w:ascii="Times New Roman" w:hAnsi="Times New Roman"/>
          <w:sz w:val="24"/>
          <w:szCs w:val="24"/>
        </w:rPr>
        <w:t xml:space="preserve"> (NR)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”Art. 11-A................................................................................................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 xml:space="preserve">I - Modalidade Social: o Valor Pecuniário de Regularização para os imóveis de que trata o artigo 10, inciso I, será de 220 UFM (duzentas e vinte unidades fiscais municipais). 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 xml:space="preserve">II - Modalidade Exclusivamente Residencial: o valor será calculado utilizando a seguinte fórmula: 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 xml:space="preserve">VPR = </w:t>
      </w:r>
      <w:proofErr w:type="gramStart"/>
      <w:r w:rsidRPr="005F000E">
        <w:rPr>
          <w:rFonts w:ascii="Times New Roman" w:hAnsi="Times New Roman"/>
          <w:sz w:val="24"/>
          <w:szCs w:val="24"/>
        </w:rPr>
        <w:t>[(</w:t>
      </w:r>
      <w:proofErr w:type="gramEnd"/>
      <w:r w:rsidRPr="005F000E">
        <w:rPr>
          <w:rFonts w:ascii="Times New Roman" w:hAnsi="Times New Roman"/>
          <w:sz w:val="24"/>
          <w:szCs w:val="24"/>
        </w:rPr>
        <w:t>A+B+C+D+E)×VV] ÷ CA Básico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 xml:space="preserve">Onde: 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A = Área ocupada pela edificação nos Recuos Obrigatórios conforme Lei nº 4.872/2009;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B = Área edificada superior ao Coeficiente de Aproveitamento conforme Lei nº 4.872/2009;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C = Área edificada superior à Taxa de Ocupação conforme Lei nº 4.872/2009;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D = Área suprimida de Garagem conforme Lei Municipal nº 4.872/2009;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E = Áreas acrescidas ou suprimidas não previstas nos itens anteriores;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VPR = Valor Pecuniário de Regularização;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VV = Valor Venal por metro quadrado definido pela Tabela do ITBI;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CA Básico = Coeficiente de Aproveitamento Básico, constante do Anexo II da Lei nº 4.872/2009.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III - Modalidade Ordinária: o valor será calculado utilizando a seguinte fórmula: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 xml:space="preserve">VPR = </w:t>
      </w:r>
      <w:proofErr w:type="gramStart"/>
      <w:r w:rsidRPr="005F000E">
        <w:rPr>
          <w:rFonts w:ascii="Times New Roman" w:hAnsi="Times New Roman"/>
          <w:sz w:val="24"/>
          <w:szCs w:val="24"/>
        </w:rPr>
        <w:t>[(</w:t>
      </w:r>
      <w:proofErr w:type="gramEnd"/>
      <w:r w:rsidRPr="005F000E">
        <w:rPr>
          <w:rFonts w:ascii="Times New Roman" w:hAnsi="Times New Roman"/>
          <w:sz w:val="24"/>
          <w:szCs w:val="24"/>
        </w:rPr>
        <w:t>A+B+C+D+E)×VVx2] ÷ CA Básico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 xml:space="preserve">Onde: 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lastRenderedPageBreak/>
        <w:t>A = Área ocupada pela edificação nos Recuos Obrigatórios conforme Lei nº 4.872/2009;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B = Área edificada superior ao Coeficiente de Aproveitamento conforme Lei nº 4.872/2009;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C = Área edificada superior à Taxa de Ocupação conforme Lei nº 4.872/2009;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D = Área suprimida de Garagem conforme Lei Municipal nº 4.872/2009;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E = Áreas acrescidas ou suprimidas não previstas nos itens anteriores;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VPR = Valor Pecuniário de Regularização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VV = Valor Venal por metro quadrado definido pela Tabela do ITBI;</w:t>
      </w:r>
    </w:p>
    <w:p w:rsidR="005F000E" w:rsidRPr="005F000E" w:rsidRDefault="005F000E" w:rsidP="005F000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CA Básico = Coeficiente de Aproveitamento Básico, constante do Anexo II da Lei nº 4.872/</w:t>
      </w:r>
      <w:proofErr w:type="gramStart"/>
      <w:r w:rsidRPr="005F000E">
        <w:rPr>
          <w:rFonts w:ascii="Times New Roman" w:hAnsi="Times New Roman"/>
          <w:sz w:val="24"/>
          <w:szCs w:val="24"/>
        </w:rPr>
        <w:t>2009.”</w:t>
      </w:r>
      <w:proofErr w:type="gramEnd"/>
      <w:r w:rsidRPr="005F000E">
        <w:rPr>
          <w:rFonts w:ascii="Times New Roman" w:hAnsi="Times New Roman"/>
          <w:sz w:val="24"/>
          <w:szCs w:val="24"/>
        </w:rPr>
        <w:t xml:space="preserve"> (NR) </w:t>
      </w:r>
    </w:p>
    <w:p w:rsidR="005F000E" w:rsidRDefault="005F000E" w:rsidP="005F000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b/>
          <w:sz w:val="24"/>
          <w:szCs w:val="24"/>
        </w:rPr>
        <w:t>Art. 2</w:t>
      </w:r>
      <w:r w:rsidRPr="005F000E">
        <w:rPr>
          <w:rFonts w:ascii="Times New Roman" w:hAnsi="Times New Roman"/>
          <w:b/>
          <w:sz w:val="24"/>
          <w:szCs w:val="24"/>
        </w:rPr>
        <w:t>º</w:t>
      </w:r>
      <w:r w:rsidRPr="005F000E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5F000E" w:rsidRPr="005F000E" w:rsidRDefault="005F000E" w:rsidP="005F000E">
      <w:pPr>
        <w:pStyle w:val="SemEspaamento"/>
        <w:rPr>
          <w:rFonts w:ascii="Times New Roman" w:hAnsi="Times New Roman"/>
          <w:sz w:val="24"/>
          <w:szCs w:val="24"/>
        </w:rPr>
      </w:pPr>
    </w:p>
    <w:p w:rsidR="005F000E" w:rsidRDefault="005F000E" w:rsidP="005F000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5F000E">
        <w:rPr>
          <w:rFonts w:ascii="Times New Roman" w:hAnsi="Times New Roman"/>
          <w:sz w:val="24"/>
          <w:szCs w:val="24"/>
        </w:rPr>
        <w:t>Câmara Municipal de Pouso Alegre, 18 de junho de 2019.</w:t>
      </w:r>
    </w:p>
    <w:p w:rsidR="005F000E" w:rsidRDefault="005F000E" w:rsidP="005F000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F000E" w:rsidRPr="005F000E" w:rsidRDefault="005F000E" w:rsidP="005F000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F000E" w:rsidRPr="005F000E" w:rsidRDefault="005F000E" w:rsidP="005F000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F000E" w:rsidRPr="005F000E" w:rsidTr="005F000E">
        <w:tc>
          <w:tcPr>
            <w:tcW w:w="5097" w:type="dxa"/>
          </w:tcPr>
          <w:p w:rsidR="005F000E" w:rsidRPr="005F000E" w:rsidRDefault="005F000E" w:rsidP="005F000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0E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5F000E" w:rsidRPr="005F000E" w:rsidRDefault="005F000E" w:rsidP="005F000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0E"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5F000E" w:rsidRPr="005F000E" w:rsidTr="005F000E">
        <w:tc>
          <w:tcPr>
            <w:tcW w:w="5097" w:type="dxa"/>
          </w:tcPr>
          <w:p w:rsidR="005F000E" w:rsidRPr="005F000E" w:rsidRDefault="005F000E" w:rsidP="005F000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00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F000E" w:rsidRPr="005F000E" w:rsidRDefault="005F000E" w:rsidP="005F000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00E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F000E" w:rsidRPr="005F000E" w:rsidRDefault="005F000E" w:rsidP="005F000E">
      <w:pPr>
        <w:pStyle w:val="SemEspaamento"/>
        <w:rPr>
          <w:rFonts w:ascii="Times New Roman" w:hAnsi="Times New Roman"/>
          <w:sz w:val="24"/>
          <w:szCs w:val="24"/>
        </w:rPr>
      </w:pPr>
    </w:p>
    <w:sectPr w:rsidR="005F000E" w:rsidRPr="005F000E" w:rsidSect="005F000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0E"/>
    <w:rsid w:val="00527403"/>
    <w:rsid w:val="005F000E"/>
    <w:rsid w:val="00C1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7647-7C40-472B-9A3A-2195A0E7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0E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F000E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5F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00E"/>
    <w:rPr>
      <w:rFonts w:ascii="Segoe UI" w:eastAsia="SimSu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cp:lastPrinted>2019-06-19T16:51:00Z</cp:lastPrinted>
  <dcterms:created xsi:type="dcterms:W3CDTF">2019-06-19T16:47:00Z</dcterms:created>
  <dcterms:modified xsi:type="dcterms:W3CDTF">2019-06-19T17:19:00Z</dcterms:modified>
</cp:coreProperties>
</file>