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0A52D1">
        <w:rPr>
          <w:b/>
          <w:color w:val="000000"/>
          <w:sz w:val="22"/>
          <w:szCs w:val="22"/>
        </w:rPr>
        <w:t>1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0A52D1">
        <w:rPr>
          <w:color w:val="000000"/>
          <w:sz w:val="22"/>
          <w:szCs w:val="22"/>
        </w:rPr>
        <w:t>ao Mundo Encantado da Drica Palhacinha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2019-05-06T19:18:00Z</cp:lastPrinted>
  <dcterms:created xsi:type="dcterms:W3CDTF">2019-05-06T19:18:00Z</dcterms:created>
  <dcterms:modified xsi:type="dcterms:W3CDTF">2019-05-06T19:18:00Z</dcterms:modified>
</cp:coreProperties>
</file>