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 e a instalação de bueiros em toda a extensão da Rua Moyses Lopes Filho, em especial próximo à área de lazer, situada no final da rua, no bairro Jardim São Francisco/Faisqueira.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nenhuma estrutura para o escoamento pluvial, fazendo com que fique alagada no período chuvoso, bem como as suas residências sejam ocupadas pelas águas. Vale salientar que a água acumulada na rua fica empossada por várias horas ou até dias, impossibilitando o trânsito de pessoas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