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7F5" w:rsidRPr="005637F5" w:rsidRDefault="005637F5" w:rsidP="005637F5">
      <w:pPr>
        <w:jc w:val="both"/>
        <w:rPr>
          <w:b/>
        </w:rPr>
      </w:pPr>
      <w:r w:rsidRPr="005637F5">
        <w:rPr>
          <w:rFonts w:ascii="Times New Roman" w:hAnsi="Times New Roman" w:cs="Times New Roman"/>
          <w:b/>
          <w:sz w:val="24"/>
          <w:szCs w:val="24"/>
        </w:rPr>
        <w:t>Ofício n</w:t>
      </w:r>
      <w:r w:rsidRPr="005637F5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03548E">
        <w:rPr>
          <w:rFonts w:ascii="Times New Roman" w:hAnsi="Times New Roman" w:cs="Times New Roman"/>
          <w:b/>
          <w:sz w:val="24"/>
          <w:szCs w:val="24"/>
        </w:rPr>
        <w:t>332</w:t>
      </w:r>
      <w:bookmarkStart w:id="0" w:name="_GoBack"/>
      <w:bookmarkEnd w:id="0"/>
      <w:r w:rsidR="00CC7372">
        <w:rPr>
          <w:rFonts w:ascii="Times New Roman" w:hAnsi="Times New Roman" w:cs="Times New Roman"/>
          <w:b/>
          <w:sz w:val="24"/>
          <w:szCs w:val="24"/>
        </w:rPr>
        <w:t>/2018</w:t>
      </w:r>
    </w:p>
    <w:p w:rsidR="00CB0D21" w:rsidRDefault="00064E5C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Pouso Alegre, </w:t>
      </w:r>
      <w:r w:rsidR="00F9318F">
        <w:rPr>
          <w:rFonts w:ascii="Times New Roman" w:hAnsi="Times New Roman" w:cs="Times New Roman"/>
          <w:sz w:val="24"/>
          <w:szCs w:val="24"/>
        </w:rPr>
        <w:t>1</w:t>
      </w:r>
      <w:r w:rsidR="005637F5">
        <w:rPr>
          <w:rFonts w:ascii="Times New Roman" w:hAnsi="Times New Roman" w:cs="Times New Roman"/>
          <w:sz w:val="24"/>
          <w:szCs w:val="24"/>
        </w:rPr>
        <w:t>8</w:t>
      </w:r>
      <w:r w:rsidR="004D1762">
        <w:rPr>
          <w:rFonts w:ascii="Times New Roman" w:hAnsi="Times New Roman" w:cs="Times New Roman"/>
          <w:sz w:val="24"/>
          <w:szCs w:val="24"/>
        </w:rPr>
        <w:t xml:space="preserve"> de </w:t>
      </w:r>
      <w:r w:rsidR="00F9318F">
        <w:rPr>
          <w:rFonts w:ascii="Times New Roman" w:hAnsi="Times New Roman" w:cs="Times New Roman"/>
          <w:sz w:val="24"/>
          <w:szCs w:val="24"/>
        </w:rPr>
        <w:t>d</w:t>
      </w:r>
      <w:r w:rsidR="002420B9">
        <w:rPr>
          <w:rFonts w:ascii="Times New Roman" w:hAnsi="Times New Roman" w:cs="Times New Roman"/>
          <w:sz w:val="24"/>
          <w:szCs w:val="24"/>
        </w:rPr>
        <w:t>e</w:t>
      </w:r>
      <w:r w:rsidR="00F9318F">
        <w:rPr>
          <w:rFonts w:ascii="Times New Roman" w:hAnsi="Times New Roman" w:cs="Times New Roman"/>
          <w:sz w:val="24"/>
          <w:szCs w:val="24"/>
        </w:rPr>
        <w:t>z</w:t>
      </w:r>
      <w:r w:rsidR="002420B9">
        <w:rPr>
          <w:rFonts w:ascii="Times New Roman" w:hAnsi="Times New Roman" w:cs="Times New Roman"/>
          <w:sz w:val="24"/>
          <w:szCs w:val="24"/>
        </w:rPr>
        <w:t>embro</w:t>
      </w:r>
      <w:r w:rsidR="008B3442">
        <w:rPr>
          <w:rFonts w:ascii="Times New Roman" w:hAnsi="Times New Roman" w:cs="Times New Roman"/>
          <w:sz w:val="24"/>
          <w:szCs w:val="24"/>
        </w:rPr>
        <w:t xml:space="preserve"> de 201</w:t>
      </w:r>
      <w:r w:rsidR="00700ABB">
        <w:rPr>
          <w:rFonts w:ascii="Times New Roman" w:hAnsi="Times New Roman" w:cs="Times New Roman"/>
          <w:sz w:val="24"/>
          <w:szCs w:val="24"/>
        </w:rPr>
        <w:t>8</w:t>
      </w:r>
      <w:r w:rsidR="008B3442">
        <w:rPr>
          <w:rFonts w:ascii="Times New Roman" w:hAnsi="Times New Roman" w:cs="Times New Roman"/>
          <w:sz w:val="24"/>
          <w:szCs w:val="24"/>
        </w:rPr>
        <w:t>.</w:t>
      </w:r>
    </w:p>
    <w:p w:rsidR="009469B2" w:rsidRDefault="009469B2" w:rsidP="00563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7F5" w:rsidRDefault="005637F5" w:rsidP="00563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Prezado </w:t>
      </w:r>
      <w:proofErr w:type="spellStart"/>
      <w:r>
        <w:rPr>
          <w:rFonts w:ascii="Times New Roman" w:hAnsi="Times New Roman" w:cs="Times New Roman"/>
          <w:sz w:val="24"/>
          <w:szCs w:val="24"/>
        </w:rPr>
        <w:t>Vererador</w:t>
      </w:r>
      <w:proofErr w:type="spellEnd"/>
    </w:p>
    <w:p w:rsidR="005637F5" w:rsidRDefault="005637F5" w:rsidP="00563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Lui</w:t>
      </w:r>
      <w:r>
        <w:rPr>
          <w:rFonts w:ascii="Times New Roman" w:hAnsi="Times New Roman" w:cs="Times New Roman"/>
          <w:sz w:val="24"/>
          <w:szCs w:val="24"/>
        </w:rPr>
        <w:t>z Antônio dos Santos – Campanha</w:t>
      </w:r>
    </w:p>
    <w:p w:rsidR="005637F5" w:rsidRDefault="005637F5" w:rsidP="00563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D21" w:rsidRDefault="00CB0D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D21" w:rsidRDefault="00F9318F" w:rsidP="00A4396B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00ABB">
        <w:rPr>
          <w:rFonts w:ascii="Times New Roman" w:hAnsi="Times New Roman" w:cs="Times New Roman"/>
          <w:sz w:val="24"/>
          <w:szCs w:val="24"/>
        </w:rPr>
        <w:t>enhor</w:t>
      </w:r>
      <w:r>
        <w:rPr>
          <w:rFonts w:ascii="Times New Roman" w:hAnsi="Times New Roman" w:cs="Times New Roman"/>
          <w:sz w:val="24"/>
          <w:szCs w:val="24"/>
        </w:rPr>
        <w:t xml:space="preserve"> Vereador</w:t>
      </w:r>
      <w:r w:rsidR="00700ABB">
        <w:rPr>
          <w:rFonts w:ascii="Times New Roman" w:hAnsi="Times New Roman" w:cs="Times New Roman"/>
          <w:sz w:val="24"/>
          <w:szCs w:val="24"/>
        </w:rPr>
        <w:t>,</w:t>
      </w:r>
    </w:p>
    <w:p w:rsidR="00245365" w:rsidRPr="00A4396B" w:rsidRDefault="00245365" w:rsidP="00A4396B">
      <w:pPr>
        <w:spacing w:after="0" w:line="360" w:lineRule="auto"/>
        <w:ind w:firstLine="2268"/>
        <w:jc w:val="both"/>
      </w:pPr>
    </w:p>
    <w:p w:rsidR="00694F0A" w:rsidRDefault="00F9318F" w:rsidP="00E542A5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14 de setembro de 2018, a Secretaria Geral desta Casa encaminhou a Vossa Senhoria e-mail narrando</w:t>
      </w:r>
      <w:r w:rsidR="00694F0A">
        <w:rPr>
          <w:rFonts w:ascii="Times New Roman" w:hAnsi="Times New Roman" w:cs="Times New Roman"/>
          <w:sz w:val="24"/>
          <w:szCs w:val="24"/>
        </w:rPr>
        <w:t xml:space="preserve">, em síntese: que Vossa Senhoria acumula ao mandato de vereador cargo efetivo no Executivo Municipal; que Vossa Senhoria solicitou </w:t>
      </w:r>
      <w:r w:rsidR="008D6B3B">
        <w:rPr>
          <w:rFonts w:ascii="Times New Roman" w:hAnsi="Times New Roman" w:cs="Times New Roman"/>
          <w:sz w:val="24"/>
          <w:szCs w:val="24"/>
        </w:rPr>
        <w:t xml:space="preserve">junto ao Executivo </w:t>
      </w:r>
      <w:r w:rsidR="00694F0A">
        <w:rPr>
          <w:rFonts w:ascii="Times New Roman" w:hAnsi="Times New Roman" w:cs="Times New Roman"/>
          <w:sz w:val="24"/>
          <w:szCs w:val="24"/>
        </w:rPr>
        <w:t xml:space="preserve">afastamento das atividades do seu cargo efetivo; que, diante da licença para o exercício do mandato, Vossa Senhoria solicitou ao Setor de Recursos Humanos </w:t>
      </w:r>
      <w:r w:rsidR="008D6B3B">
        <w:rPr>
          <w:rFonts w:ascii="Times New Roman" w:hAnsi="Times New Roman" w:cs="Times New Roman"/>
          <w:sz w:val="24"/>
          <w:szCs w:val="24"/>
        </w:rPr>
        <w:t xml:space="preserve">da Câmara Municipal </w:t>
      </w:r>
      <w:r w:rsidR="00694F0A">
        <w:rPr>
          <w:rFonts w:ascii="Times New Roman" w:hAnsi="Times New Roman" w:cs="Times New Roman"/>
          <w:sz w:val="24"/>
          <w:szCs w:val="24"/>
        </w:rPr>
        <w:t xml:space="preserve">que se efetuasse o desconto da contribuição previdenciária considerando a remuneração do seu cargo efetivo, e não do seu mandato como vereador. </w:t>
      </w:r>
    </w:p>
    <w:p w:rsidR="006A3430" w:rsidRDefault="00694F0A" w:rsidP="00E542A5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entanto, segundo consta também daquela comunicação eletrônica (e-mail), Vossa Senhoria voltou ao exercício do cargo efetivo em setembro de 2017, sem comunicar a Câmara Municipal.</w:t>
      </w:r>
      <w:r w:rsidR="006A3430">
        <w:rPr>
          <w:rFonts w:ascii="Times New Roman" w:hAnsi="Times New Roman" w:cs="Times New Roman"/>
          <w:sz w:val="24"/>
          <w:szCs w:val="24"/>
        </w:rPr>
        <w:t xml:space="preserve"> Instado pela Secretaria</w:t>
      </w:r>
      <w:r w:rsidR="005637F5">
        <w:rPr>
          <w:rFonts w:ascii="Times New Roman" w:hAnsi="Times New Roman" w:cs="Times New Roman"/>
          <w:sz w:val="24"/>
          <w:szCs w:val="24"/>
        </w:rPr>
        <w:t xml:space="preserve"> </w:t>
      </w:r>
      <w:r w:rsidR="006A3430">
        <w:rPr>
          <w:rFonts w:ascii="Times New Roman" w:hAnsi="Times New Roman" w:cs="Times New Roman"/>
          <w:sz w:val="24"/>
          <w:szCs w:val="24"/>
        </w:rPr>
        <w:t>Geral e pelo Setor de Recursos Humanos (cf. ofício nº 241/2018, datado de 17/09/18) a se manifestar a respeito, Vossa Senhoria se manteve inerte.</w:t>
      </w:r>
    </w:p>
    <w:p w:rsidR="00694F0A" w:rsidRDefault="006A3430" w:rsidP="00E542A5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 trazer a conhecimento o que</w:t>
      </w:r>
      <w:r w:rsidR="007F10C6">
        <w:rPr>
          <w:rFonts w:ascii="Times New Roman" w:hAnsi="Times New Roman" w:cs="Times New Roman"/>
          <w:sz w:val="24"/>
          <w:szCs w:val="24"/>
        </w:rPr>
        <w:t xml:space="preserve"> dispõe a legislação previdenciária municipal:</w:t>
      </w:r>
    </w:p>
    <w:p w:rsidR="007F10C6" w:rsidRDefault="007F10C6" w:rsidP="00E542A5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7F10C6" w:rsidRPr="002B0848" w:rsidRDefault="007F10C6" w:rsidP="007F10C6">
      <w:pPr>
        <w:pStyle w:val="SemEspaamento"/>
        <w:spacing w:line="360" w:lineRule="auto"/>
        <w:ind w:left="2268"/>
        <w:jc w:val="both"/>
        <w:rPr>
          <w:rFonts w:ascii="Times New Roman" w:hAnsi="Times New Roman"/>
          <w:sz w:val="22"/>
          <w:szCs w:val="22"/>
        </w:rPr>
      </w:pPr>
      <w:r w:rsidRPr="002B0848">
        <w:rPr>
          <w:rFonts w:ascii="Times New Roman" w:hAnsi="Times New Roman"/>
          <w:sz w:val="22"/>
          <w:szCs w:val="22"/>
        </w:rPr>
        <w:t>Lei n. 4643/2007</w:t>
      </w:r>
    </w:p>
    <w:p w:rsidR="007F10C6" w:rsidRPr="002B0848" w:rsidRDefault="007F10C6" w:rsidP="007F10C6">
      <w:pPr>
        <w:pStyle w:val="SemEspaamento"/>
        <w:spacing w:line="360" w:lineRule="auto"/>
        <w:ind w:left="2268"/>
        <w:jc w:val="both"/>
        <w:rPr>
          <w:rFonts w:ascii="Times New Roman" w:hAnsi="Times New Roman"/>
          <w:sz w:val="22"/>
          <w:szCs w:val="22"/>
        </w:rPr>
      </w:pPr>
    </w:p>
    <w:p w:rsidR="007F10C6" w:rsidRPr="002B0848" w:rsidRDefault="007F10C6" w:rsidP="007F10C6">
      <w:pPr>
        <w:pStyle w:val="SemEspaamento"/>
        <w:spacing w:line="360" w:lineRule="auto"/>
        <w:ind w:left="2268"/>
        <w:jc w:val="both"/>
        <w:rPr>
          <w:rFonts w:ascii="Times New Roman" w:hAnsi="Times New Roman"/>
          <w:sz w:val="22"/>
          <w:szCs w:val="22"/>
        </w:rPr>
      </w:pPr>
      <w:r w:rsidRPr="002B0848">
        <w:rPr>
          <w:rFonts w:ascii="Times New Roman" w:hAnsi="Times New Roman"/>
          <w:sz w:val="22"/>
          <w:szCs w:val="22"/>
        </w:rPr>
        <w:t>Art. 10.  Permanece filiado ao IPREM, na qualidade de segurado, o servidor titular de cargo efetivo que estiver:</w:t>
      </w:r>
    </w:p>
    <w:p w:rsidR="007F10C6" w:rsidRPr="002B0848" w:rsidRDefault="007F10C6" w:rsidP="007F10C6">
      <w:pPr>
        <w:pStyle w:val="SemEspaamento"/>
        <w:spacing w:line="360" w:lineRule="auto"/>
        <w:ind w:left="2268"/>
        <w:jc w:val="both"/>
        <w:rPr>
          <w:rFonts w:ascii="Times New Roman" w:hAnsi="Times New Roman"/>
          <w:sz w:val="22"/>
          <w:szCs w:val="22"/>
        </w:rPr>
      </w:pPr>
    </w:p>
    <w:p w:rsidR="007F10C6" w:rsidRPr="002B0848" w:rsidRDefault="007F10C6" w:rsidP="007F10C6">
      <w:pPr>
        <w:pStyle w:val="SemEspaamento"/>
        <w:spacing w:line="360" w:lineRule="auto"/>
        <w:ind w:left="2268"/>
        <w:jc w:val="both"/>
        <w:rPr>
          <w:rFonts w:ascii="Times New Roman" w:hAnsi="Times New Roman"/>
          <w:sz w:val="22"/>
          <w:szCs w:val="22"/>
        </w:rPr>
      </w:pPr>
      <w:r w:rsidRPr="002B0848">
        <w:rPr>
          <w:rFonts w:ascii="Times New Roman" w:hAnsi="Times New Roman"/>
          <w:sz w:val="22"/>
          <w:szCs w:val="22"/>
        </w:rPr>
        <w:t>III - afastado do cargo efetivo para exercício de mandato eletivo;(redação determinada pela Lei nº 4891, 12/01/2010)</w:t>
      </w:r>
    </w:p>
    <w:p w:rsidR="007F10C6" w:rsidRPr="002B0848" w:rsidRDefault="007F10C6" w:rsidP="007F10C6">
      <w:pPr>
        <w:pStyle w:val="SemEspaamento"/>
        <w:spacing w:line="360" w:lineRule="auto"/>
        <w:ind w:left="2268"/>
        <w:jc w:val="both"/>
        <w:rPr>
          <w:rFonts w:ascii="Times New Roman" w:hAnsi="Times New Roman"/>
          <w:sz w:val="22"/>
          <w:szCs w:val="22"/>
        </w:rPr>
      </w:pPr>
    </w:p>
    <w:p w:rsidR="007F10C6" w:rsidRPr="002B0848" w:rsidRDefault="007F10C6" w:rsidP="007F10C6">
      <w:pPr>
        <w:pStyle w:val="SemEspaamento"/>
        <w:spacing w:line="360" w:lineRule="auto"/>
        <w:ind w:left="2268"/>
        <w:jc w:val="both"/>
        <w:rPr>
          <w:rFonts w:ascii="Times New Roman" w:hAnsi="Times New Roman"/>
          <w:sz w:val="22"/>
          <w:szCs w:val="22"/>
        </w:rPr>
      </w:pPr>
      <w:r w:rsidRPr="002B0848">
        <w:rPr>
          <w:rFonts w:ascii="Times New Roman" w:hAnsi="Times New Roman"/>
          <w:sz w:val="22"/>
          <w:szCs w:val="22"/>
        </w:rPr>
        <w:t xml:space="preserve">§ 1.º O segurado </w:t>
      </w:r>
      <w:proofErr w:type="spellStart"/>
      <w:r w:rsidRPr="002B0848">
        <w:rPr>
          <w:rFonts w:ascii="Times New Roman" w:hAnsi="Times New Roman"/>
          <w:sz w:val="22"/>
          <w:szCs w:val="22"/>
        </w:rPr>
        <w:t>exercente</w:t>
      </w:r>
      <w:proofErr w:type="spellEnd"/>
      <w:r w:rsidRPr="002B0848">
        <w:rPr>
          <w:rFonts w:ascii="Times New Roman" w:hAnsi="Times New Roman"/>
          <w:sz w:val="22"/>
          <w:szCs w:val="22"/>
        </w:rPr>
        <w:t xml:space="preserve"> de mandato de Vereador que ocupe o cargo efetivo e exerça, concomitantemente, o mandato, filia-se à previdência Municipal pelo cargo efetivo e ao RGPS pelo mandato eletivo.</w:t>
      </w:r>
    </w:p>
    <w:p w:rsidR="002B0848" w:rsidRDefault="002B0848" w:rsidP="007F10C6">
      <w:pPr>
        <w:pStyle w:val="SemEspaamento"/>
        <w:spacing w:line="36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0C1987" w:rsidRDefault="007F10C6" w:rsidP="00E542A5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se vê, </w:t>
      </w:r>
      <w:r w:rsidR="000C198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omissão de Vossa Senhoria em comunicar o retorno às atividades do seu cargo efetivo</w:t>
      </w:r>
      <w:r w:rsidR="000C1987">
        <w:rPr>
          <w:rFonts w:ascii="Times New Roman" w:hAnsi="Times New Roman" w:cs="Times New Roman"/>
          <w:sz w:val="24"/>
          <w:szCs w:val="24"/>
        </w:rPr>
        <w:t xml:space="preserve"> fez a Câmara incidir em erro, recolhendo contribuição previdenciária ao </w:t>
      </w:r>
      <w:proofErr w:type="spellStart"/>
      <w:r w:rsidR="000C1987">
        <w:rPr>
          <w:rFonts w:ascii="Times New Roman" w:hAnsi="Times New Roman" w:cs="Times New Roman"/>
          <w:sz w:val="24"/>
          <w:szCs w:val="24"/>
        </w:rPr>
        <w:t>Iprem</w:t>
      </w:r>
      <w:proofErr w:type="spellEnd"/>
      <w:r w:rsidR="000C1987">
        <w:rPr>
          <w:rFonts w:ascii="Times New Roman" w:hAnsi="Times New Roman" w:cs="Times New Roman"/>
          <w:sz w:val="24"/>
          <w:szCs w:val="24"/>
        </w:rPr>
        <w:t xml:space="preserve">, ao passo que o deveria fazer ao INSS. Com efeito, a omissão do servidor/vereador resultou em duplicidade de recolhimento ao </w:t>
      </w:r>
      <w:proofErr w:type="spellStart"/>
      <w:r w:rsidR="000C1987">
        <w:rPr>
          <w:rFonts w:ascii="Times New Roman" w:hAnsi="Times New Roman" w:cs="Times New Roman"/>
          <w:sz w:val="24"/>
          <w:szCs w:val="24"/>
        </w:rPr>
        <w:t>Iprem</w:t>
      </w:r>
      <w:proofErr w:type="spellEnd"/>
      <w:r w:rsidR="000C1987">
        <w:rPr>
          <w:rFonts w:ascii="Times New Roman" w:hAnsi="Times New Roman" w:cs="Times New Roman"/>
          <w:sz w:val="24"/>
          <w:szCs w:val="24"/>
        </w:rPr>
        <w:t>, e inadimplência em relação ao INSS.</w:t>
      </w:r>
    </w:p>
    <w:p w:rsidR="007F10C6" w:rsidRDefault="000C1987" w:rsidP="00E542A5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inadimplência em relação ao INSS implica a negativação do Município perante a Fazenda Nacional, o que pode prejudicar a </w:t>
      </w:r>
      <w:proofErr w:type="spellStart"/>
      <w:r>
        <w:rPr>
          <w:rFonts w:ascii="Times New Roman" w:hAnsi="Times New Roman" w:cs="Times New Roman"/>
          <w:sz w:val="24"/>
          <w:szCs w:val="24"/>
        </w:rPr>
        <w:t>pactuação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convênios importantes para o Município, bem como a obtenção de recursos necessários à persecução do interesse público. Assim, faz-se necessária a regularização da situação fiscal do Município em relação à Fazenda Nacional.  </w:t>
      </w:r>
    </w:p>
    <w:p w:rsidR="000C1987" w:rsidRDefault="007D7C63" w:rsidP="00E542A5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relatório anexo demonstra o montante dos débitos do Município para com o INSS</w:t>
      </w:r>
      <w:r w:rsidR="00616248">
        <w:rPr>
          <w:rFonts w:ascii="Times New Roman" w:hAnsi="Times New Roman" w:cs="Times New Roman"/>
          <w:sz w:val="24"/>
          <w:szCs w:val="24"/>
        </w:rPr>
        <w:t xml:space="preserve"> (até dezembro de 2018, registre-se)</w:t>
      </w:r>
      <w:r>
        <w:rPr>
          <w:rFonts w:ascii="Times New Roman" w:hAnsi="Times New Roman" w:cs="Times New Roman"/>
          <w:sz w:val="24"/>
          <w:szCs w:val="24"/>
        </w:rPr>
        <w:t>: R$</w:t>
      </w:r>
      <w:r w:rsidR="00534A75">
        <w:rPr>
          <w:rFonts w:ascii="Times New Roman" w:hAnsi="Times New Roman" w:cs="Times New Roman"/>
          <w:sz w:val="24"/>
          <w:szCs w:val="24"/>
        </w:rPr>
        <w:t>42.718,05</w:t>
      </w:r>
      <w:r>
        <w:rPr>
          <w:rFonts w:ascii="Times New Roman" w:hAnsi="Times New Roman" w:cs="Times New Roman"/>
          <w:sz w:val="24"/>
          <w:szCs w:val="24"/>
        </w:rPr>
        <w:t>, sendo</w:t>
      </w:r>
      <w:r w:rsidR="00117E87">
        <w:rPr>
          <w:rFonts w:ascii="Times New Roman" w:hAnsi="Times New Roman" w:cs="Times New Roman"/>
          <w:sz w:val="24"/>
          <w:szCs w:val="24"/>
        </w:rPr>
        <w:t xml:space="preserve"> R$</w:t>
      </w:r>
      <w:r w:rsidR="00534A75">
        <w:rPr>
          <w:rFonts w:ascii="Times New Roman" w:hAnsi="Times New Roman" w:cs="Times New Roman"/>
          <w:sz w:val="24"/>
          <w:szCs w:val="24"/>
        </w:rPr>
        <w:t>28.510,95</w:t>
      </w:r>
      <w:r w:rsidR="00117E87">
        <w:rPr>
          <w:rFonts w:ascii="Times New Roman" w:hAnsi="Times New Roman" w:cs="Times New Roman"/>
          <w:sz w:val="24"/>
          <w:szCs w:val="24"/>
        </w:rPr>
        <w:t xml:space="preserve"> de responsabilidade</w:t>
      </w:r>
      <w:r w:rsidR="00534A75">
        <w:rPr>
          <w:rFonts w:ascii="Times New Roman" w:hAnsi="Times New Roman" w:cs="Times New Roman"/>
          <w:sz w:val="24"/>
          <w:szCs w:val="24"/>
        </w:rPr>
        <w:t xml:space="preserve"> do Município e R$14.207,10 de responsabilidade do servidor/vereador. Como o servidor/vereador foi quem deu causa à situação de inadimplência perante o INSS, é de sua responsabilidade o pagamento das multas e dos juros decorrentes dessa situação. Assim, o valor devido pelo servidor/vereador compreende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A75">
        <w:rPr>
          <w:rFonts w:ascii="Times New Roman" w:hAnsi="Times New Roman" w:cs="Times New Roman"/>
          <w:sz w:val="24"/>
          <w:szCs w:val="24"/>
        </w:rPr>
        <w:t>o montante principal da contribuição devida ao INSS, descontada</w:t>
      </w:r>
      <w:r w:rsidR="005E1252">
        <w:rPr>
          <w:rFonts w:ascii="Times New Roman" w:hAnsi="Times New Roman" w:cs="Times New Roman"/>
          <w:sz w:val="24"/>
          <w:szCs w:val="24"/>
        </w:rPr>
        <w:t xml:space="preserve">s a parte patronal e </w:t>
      </w:r>
      <w:r w:rsidR="00534A75">
        <w:rPr>
          <w:rFonts w:ascii="Times New Roman" w:hAnsi="Times New Roman" w:cs="Times New Roman"/>
          <w:sz w:val="24"/>
          <w:szCs w:val="24"/>
        </w:rPr>
        <w:t xml:space="preserve">a quantia já </w:t>
      </w:r>
      <w:r w:rsidR="005E1252">
        <w:rPr>
          <w:rFonts w:ascii="Times New Roman" w:hAnsi="Times New Roman" w:cs="Times New Roman"/>
          <w:sz w:val="24"/>
          <w:szCs w:val="24"/>
        </w:rPr>
        <w:t>debitada</w:t>
      </w:r>
      <w:r w:rsidR="00534A75">
        <w:rPr>
          <w:rFonts w:ascii="Times New Roman" w:hAnsi="Times New Roman" w:cs="Times New Roman"/>
          <w:sz w:val="24"/>
          <w:szCs w:val="24"/>
        </w:rPr>
        <w:t xml:space="preserve"> do servidor/vereador e recolhida ao </w:t>
      </w:r>
      <w:proofErr w:type="spellStart"/>
      <w:r w:rsidR="00534A75">
        <w:rPr>
          <w:rFonts w:ascii="Times New Roman" w:hAnsi="Times New Roman" w:cs="Times New Roman"/>
          <w:sz w:val="24"/>
          <w:szCs w:val="24"/>
        </w:rPr>
        <w:t>Iprem</w:t>
      </w:r>
      <w:proofErr w:type="spellEnd"/>
      <w:r w:rsidR="00534A75">
        <w:rPr>
          <w:rFonts w:ascii="Times New Roman" w:hAnsi="Times New Roman" w:cs="Times New Roman"/>
          <w:sz w:val="24"/>
          <w:szCs w:val="24"/>
        </w:rPr>
        <w:t>, mais as multas e os</w:t>
      </w:r>
      <w:r w:rsidR="005E1252">
        <w:rPr>
          <w:rFonts w:ascii="Times New Roman" w:hAnsi="Times New Roman" w:cs="Times New Roman"/>
          <w:sz w:val="24"/>
          <w:szCs w:val="24"/>
        </w:rPr>
        <w:t xml:space="preserve"> juros incidentes sobre o valor principal em atraso para com INSS (tanto correspondentes à parcela devida pelo servidor/vereador, quanto à devida pela Câmara Municipal).</w:t>
      </w:r>
      <w:r w:rsidR="00534A75">
        <w:rPr>
          <w:rFonts w:ascii="Times New Roman" w:hAnsi="Times New Roman" w:cs="Times New Roman"/>
          <w:sz w:val="24"/>
          <w:szCs w:val="24"/>
        </w:rPr>
        <w:t xml:space="preserve"> </w:t>
      </w:r>
      <w:r w:rsidR="005E1252">
        <w:rPr>
          <w:rFonts w:ascii="Times New Roman" w:hAnsi="Times New Roman" w:cs="Times New Roman"/>
          <w:sz w:val="24"/>
          <w:szCs w:val="24"/>
        </w:rPr>
        <w:t>A Câmara deve recolher a parte patronal principal e a diferença entre o principal devido ao INSS e o valor já descontado do servidor/vereador.</w:t>
      </w:r>
    </w:p>
    <w:p w:rsidR="005E1252" w:rsidRDefault="005E1252" w:rsidP="00E542A5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Deve-se frisar o que prescreve a Lei Municipal n. 1042/71 (Estatuto dos Servidores Públicos do Município de Pouso Alegre), </w:t>
      </w:r>
      <w:r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verbis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E1252" w:rsidRDefault="005E1252" w:rsidP="00E542A5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6A3430" w:rsidRPr="002B0848" w:rsidRDefault="006A3430" w:rsidP="002B084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2B0848">
        <w:rPr>
          <w:rFonts w:ascii="Times New Roman" w:hAnsi="Times New Roman" w:cs="Times New Roman"/>
        </w:rPr>
        <w:lastRenderedPageBreak/>
        <w:t>Art. 167 – A responsabilidade civil decorre de procedimento doloso ou culposo, que importe em prejuízo para a Fazenda Municipal ou para terceiros.</w:t>
      </w:r>
    </w:p>
    <w:p w:rsidR="006A3430" w:rsidRPr="002B0848" w:rsidRDefault="006A3430" w:rsidP="002B084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</w:p>
    <w:p w:rsidR="006A3430" w:rsidRPr="002B0848" w:rsidRDefault="006A3430" w:rsidP="002B084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2B0848">
        <w:rPr>
          <w:rFonts w:ascii="Times New Roman" w:hAnsi="Times New Roman" w:cs="Times New Roman"/>
        </w:rPr>
        <w:t>§ 1º - O funcionário será obrigado a repor, de uma só vez, a importância do prejuízo causado à Fazenda Municipal, em virtude de alcance, desfalque, remissão ou omissão em efetuar recolhimento ou entradas nos prazos legais.</w:t>
      </w:r>
    </w:p>
    <w:p w:rsidR="006A3430" w:rsidRPr="002B0848" w:rsidRDefault="006A3430" w:rsidP="002B084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</w:p>
    <w:p w:rsidR="006A3430" w:rsidRPr="002B0848" w:rsidRDefault="006A3430" w:rsidP="002B084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2B0848">
        <w:rPr>
          <w:rFonts w:ascii="Times New Roman" w:hAnsi="Times New Roman" w:cs="Times New Roman"/>
        </w:rPr>
        <w:t>§ 2º - Nos demais casos, a indenização de prejuízos à Fazenda Municipal, poderá ser liquidado mediante o desconto em folha, nunca excedente da 10ª (décima) parte do vencimento ou remuneração, na falta de outros bens que respondam pela indenização.</w:t>
      </w:r>
    </w:p>
    <w:p w:rsidR="005E1252" w:rsidRDefault="005E1252" w:rsidP="00E542A5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6A3430" w:rsidRDefault="006A3430" w:rsidP="00E542A5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situação narrada indica conduta culposa </w:t>
      </w:r>
      <w:r w:rsidR="009D7DE3">
        <w:rPr>
          <w:rFonts w:ascii="Times New Roman" w:hAnsi="Times New Roman" w:cs="Times New Roman"/>
          <w:sz w:val="24"/>
          <w:szCs w:val="24"/>
        </w:rPr>
        <w:t xml:space="preserve">ou dolosa </w:t>
      </w:r>
      <w:r>
        <w:rPr>
          <w:rFonts w:ascii="Times New Roman" w:hAnsi="Times New Roman" w:cs="Times New Roman"/>
          <w:sz w:val="24"/>
          <w:szCs w:val="24"/>
        </w:rPr>
        <w:t>do servidor/vereador em não comunicar a Câmara Municipal a modificação da situação funcional antes declarada</w:t>
      </w:r>
      <w:r w:rsidR="002C6F99">
        <w:rPr>
          <w:rFonts w:ascii="Times New Roman" w:hAnsi="Times New Roman" w:cs="Times New Roman"/>
          <w:sz w:val="24"/>
          <w:szCs w:val="24"/>
        </w:rPr>
        <w:t>. S</w:t>
      </w:r>
      <w:r w:rsidR="001668F6">
        <w:rPr>
          <w:rFonts w:ascii="Times New Roman" w:hAnsi="Times New Roman" w:cs="Times New Roman"/>
          <w:sz w:val="24"/>
          <w:szCs w:val="24"/>
        </w:rPr>
        <w:t>e o Vereador informou à</w:t>
      </w:r>
      <w:r>
        <w:rPr>
          <w:rFonts w:ascii="Times New Roman" w:hAnsi="Times New Roman" w:cs="Times New Roman"/>
          <w:sz w:val="24"/>
          <w:szCs w:val="24"/>
        </w:rPr>
        <w:t xml:space="preserve"> Câmara Municipal a sua licença para o exercício de mandato, a fim de que a contribuição previdenciária incidisse apenas sobre o valor correspondente aos vencimentos do cargo efetivo ocupado, deveria ter informado a revogação da licença e o retorno ao serviço, pois essa modificação da situação funcional implica igualmente modificação da situação previdenciária. </w:t>
      </w:r>
      <w:r w:rsidR="009D7DE3">
        <w:rPr>
          <w:rFonts w:ascii="Times New Roman" w:hAnsi="Times New Roman" w:cs="Times New Roman"/>
          <w:sz w:val="24"/>
          <w:szCs w:val="24"/>
        </w:rPr>
        <w:t>O vereador contradiz, por comportamento posterior omissivo, comportamento comissivo anterior. Se se informou a licença do cargo efetivo para o exercício de mandato, afigura-se lógica a obrigação de informar a modificação dessa situação funcional, com</w:t>
      </w:r>
      <w:r w:rsidR="001668F6">
        <w:rPr>
          <w:rFonts w:ascii="Times New Roman" w:hAnsi="Times New Roman" w:cs="Times New Roman"/>
          <w:sz w:val="24"/>
          <w:szCs w:val="24"/>
        </w:rPr>
        <w:t xml:space="preserve"> o</w:t>
      </w:r>
      <w:r w:rsidR="009D7DE3">
        <w:rPr>
          <w:rFonts w:ascii="Times New Roman" w:hAnsi="Times New Roman" w:cs="Times New Roman"/>
          <w:sz w:val="24"/>
          <w:szCs w:val="24"/>
        </w:rPr>
        <w:t xml:space="preserve"> retorno ao serviço. A proibição de comportamento contraditório é princípio afeto à boa-fé objetiva respaldada pelo Direito brasileiro.</w:t>
      </w:r>
      <w:r w:rsidR="002C6F99">
        <w:rPr>
          <w:rFonts w:ascii="Times New Roman" w:hAnsi="Times New Roman" w:cs="Times New Roman"/>
          <w:sz w:val="24"/>
          <w:szCs w:val="24"/>
        </w:rPr>
        <w:t xml:space="preserve"> Lúcio Picanço </w:t>
      </w:r>
      <w:proofErr w:type="spellStart"/>
      <w:r w:rsidR="002C6F99">
        <w:rPr>
          <w:rFonts w:ascii="Times New Roman" w:hAnsi="Times New Roman" w:cs="Times New Roman"/>
          <w:sz w:val="24"/>
          <w:szCs w:val="24"/>
        </w:rPr>
        <w:t>Facci</w:t>
      </w:r>
      <w:proofErr w:type="spellEnd"/>
      <w:r w:rsidR="002C6F99">
        <w:rPr>
          <w:rFonts w:ascii="Times New Roman" w:hAnsi="Times New Roman" w:cs="Times New Roman"/>
          <w:sz w:val="24"/>
          <w:szCs w:val="24"/>
        </w:rPr>
        <w:t>, em artigo intitulado “A Proibição de Comportamento Contraditório no Âmbito da Administração Pública: A Tutela da Confiança nas Relações Jurídico-Administrativas”</w:t>
      </w:r>
      <w:r w:rsidR="00A9369E">
        <w:rPr>
          <w:rFonts w:ascii="Times New Roman" w:hAnsi="Times New Roman" w:cs="Times New Roman"/>
          <w:sz w:val="24"/>
          <w:szCs w:val="24"/>
        </w:rPr>
        <w:t xml:space="preserve">, liga o princípio </w:t>
      </w:r>
      <w:proofErr w:type="spellStart"/>
      <w:r w:rsidR="00A9369E">
        <w:rPr>
          <w:rFonts w:ascii="Times New Roman" w:hAnsi="Times New Roman" w:cs="Times New Roman"/>
          <w:i/>
          <w:sz w:val="24"/>
          <w:szCs w:val="24"/>
        </w:rPr>
        <w:t>nemo</w:t>
      </w:r>
      <w:proofErr w:type="spellEnd"/>
      <w:r w:rsidR="00A936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369E">
        <w:rPr>
          <w:rFonts w:ascii="Times New Roman" w:hAnsi="Times New Roman" w:cs="Times New Roman"/>
          <w:i/>
          <w:sz w:val="24"/>
          <w:szCs w:val="24"/>
        </w:rPr>
        <w:t>potest</w:t>
      </w:r>
      <w:proofErr w:type="spellEnd"/>
      <w:r w:rsidR="00A936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369E">
        <w:rPr>
          <w:rFonts w:ascii="Times New Roman" w:hAnsi="Times New Roman" w:cs="Times New Roman"/>
          <w:i/>
          <w:sz w:val="24"/>
          <w:szCs w:val="24"/>
        </w:rPr>
        <w:t>venire</w:t>
      </w:r>
      <w:proofErr w:type="spellEnd"/>
      <w:r w:rsidR="00A9369E">
        <w:rPr>
          <w:rFonts w:ascii="Times New Roman" w:hAnsi="Times New Roman" w:cs="Times New Roman"/>
          <w:i/>
          <w:sz w:val="24"/>
          <w:szCs w:val="24"/>
        </w:rPr>
        <w:t xml:space="preserve"> contra </w:t>
      </w:r>
      <w:proofErr w:type="spellStart"/>
      <w:proofErr w:type="gramStart"/>
      <w:r w:rsidR="00A9369E">
        <w:rPr>
          <w:rFonts w:ascii="Times New Roman" w:hAnsi="Times New Roman" w:cs="Times New Roman"/>
          <w:i/>
          <w:sz w:val="24"/>
          <w:szCs w:val="24"/>
        </w:rPr>
        <w:t>factum</w:t>
      </w:r>
      <w:proofErr w:type="spellEnd"/>
      <w:r w:rsidR="00A9369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9369E">
        <w:rPr>
          <w:rFonts w:ascii="Times New Roman" w:hAnsi="Times New Roman" w:cs="Times New Roman"/>
          <w:i/>
          <w:sz w:val="24"/>
          <w:szCs w:val="24"/>
        </w:rPr>
        <w:t>proprium</w:t>
      </w:r>
      <w:proofErr w:type="spellEnd"/>
      <w:proofErr w:type="gramEnd"/>
      <w:r w:rsidR="00A936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369E">
        <w:rPr>
          <w:rFonts w:ascii="Times New Roman" w:hAnsi="Times New Roman" w:cs="Times New Roman"/>
          <w:sz w:val="24"/>
          <w:szCs w:val="24"/>
        </w:rPr>
        <w:t xml:space="preserve"> aos pressupostos constitucionais da solidariedade social (art. 3º, I,  última parte)  e da segurança jurídica (art. 5º, </w:t>
      </w:r>
      <w:r w:rsidR="00A9369E">
        <w:rPr>
          <w:rFonts w:ascii="Times New Roman" w:hAnsi="Times New Roman" w:cs="Times New Roman"/>
          <w:i/>
          <w:sz w:val="24"/>
          <w:szCs w:val="24"/>
        </w:rPr>
        <w:t>caput</w:t>
      </w:r>
      <w:r w:rsidR="00A9369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9369E" w:rsidRDefault="00A9369E" w:rsidP="00E542A5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A9369E" w:rsidRPr="00A9369E" w:rsidRDefault="00A9369E" w:rsidP="00A9369E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A9369E">
        <w:rPr>
          <w:rFonts w:ascii="Times New Roman" w:hAnsi="Times New Roman" w:cs="Times New Roman"/>
        </w:rPr>
        <w:lastRenderedPageBreak/>
        <w:t>A proibição de agir contraditoriamente vai ao encontro da exigência comum de estabilidade das relações jurídicas, porquanto a possibilidade de frustrar legítimas expectativas contraria o anseio coletivo pela paz social e frustra a própria finalidade do Direito, que é o de promovê-la.</w:t>
      </w:r>
    </w:p>
    <w:p w:rsidR="00A9369E" w:rsidRPr="00A9369E" w:rsidRDefault="00A9369E" w:rsidP="00A9369E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proofErr w:type="gramStart"/>
      <w:r w:rsidRPr="00A9369E">
        <w:rPr>
          <w:rFonts w:ascii="Times New Roman" w:hAnsi="Times New Roman" w:cs="Times New Roman"/>
        </w:rPr>
        <w:t>Além  dos</w:t>
      </w:r>
      <w:proofErr w:type="gramEnd"/>
      <w:r w:rsidRPr="00A9369E">
        <w:rPr>
          <w:rFonts w:ascii="Times New Roman" w:hAnsi="Times New Roman" w:cs="Times New Roman"/>
        </w:rPr>
        <w:t xml:space="preserve">  referidos  fundamentos  constitucionais,  a  proibição  do comportamento contraditório tem por fundamento a boa-fé objetiva, instrumento de tutela da confiança legítima, princípio previsto no vigorante Código Civil (CC/2002) em seus artigos 113 e 422</w:t>
      </w:r>
      <w:r>
        <w:rPr>
          <w:rStyle w:val="Refdenotaderodap"/>
          <w:rFonts w:ascii="Times New Roman" w:hAnsi="Times New Roman" w:cs="Times New Roman"/>
        </w:rPr>
        <w:footnoteReference w:id="1"/>
      </w:r>
      <w:r w:rsidRPr="00A9369E">
        <w:rPr>
          <w:rFonts w:ascii="Times New Roman" w:hAnsi="Times New Roman" w:cs="Times New Roman"/>
        </w:rPr>
        <w:t>.</w:t>
      </w:r>
    </w:p>
    <w:p w:rsidR="00A644E4" w:rsidRDefault="00A644E4" w:rsidP="00E542A5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A644E4" w:rsidRDefault="00A644E4" w:rsidP="00E542A5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0A7D8E" w:rsidRDefault="000A7D8E" w:rsidP="00616248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aplicação do princípio da proibição do comportamento contraditóri</w:t>
      </w:r>
      <w:r w:rsidR="000C799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importa a intersecção de quatro fatores: I) um comportamento inicial (o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factum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proprium</w:t>
      </w:r>
      <w:proofErr w:type="spellEnd"/>
      <w:r>
        <w:rPr>
          <w:rFonts w:ascii="Times New Roman" w:hAnsi="Times New Roman" w:cs="Times New Roman"/>
          <w:sz w:val="24"/>
          <w:szCs w:val="24"/>
        </w:rPr>
        <w:t>); II) a confiança legítima de outrem na preservação do sentido objet</w:t>
      </w:r>
      <w:r w:rsidR="001668F6"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o extraído do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factum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proprium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III) </w:t>
      </w:r>
      <w:r w:rsidRPr="000A7D8E">
        <w:rPr>
          <w:rFonts w:ascii="Times New Roman" w:hAnsi="Times New Roman" w:cs="Times New Roman"/>
          <w:sz w:val="24"/>
          <w:szCs w:val="24"/>
        </w:rPr>
        <w:t xml:space="preserve">o comportamento </w:t>
      </w:r>
      <w:r>
        <w:rPr>
          <w:rFonts w:ascii="Times New Roman" w:hAnsi="Times New Roman" w:cs="Times New Roman"/>
          <w:sz w:val="24"/>
          <w:szCs w:val="24"/>
        </w:rPr>
        <w:t>contraditório em relação ao sentido objeti</w:t>
      </w:r>
      <w:r w:rsidRPr="000A7D8E">
        <w:rPr>
          <w:rFonts w:ascii="Times New Roman" w:hAnsi="Times New Roman" w:cs="Times New Roman"/>
          <w:sz w:val="24"/>
          <w:szCs w:val="24"/>
        </w:rPr>
        <w:t>vo da conduta</w:t>
      </w:r>
      <w:r>
        <w:rPr>
          <w:rFonts w:ascii="Times New Roman" w:hAnsi="Times New Roman" w:cs="Times New Roman"/>
          <w:sz w:val="24"/>
          <w:szCs w:val="24"/>
        </w:rPr>
        <w:t xml:space="preserve">  inicial; (IV</w:t>
      </w:r>
      <w:r w:rsidRPr="000A7D8E">
        <w:rPr>
          <w:rFonts w:ascii="Times New Roman" w:hAnsi="Times New Roman" w:cs="Times New Roman"/>
          <w:sz w:val="24"/>
          <w:szCs w:val="24"/>
        </w:rPr>
        <w:t>) dano efe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0A7D8E">
        <w:rPr>
          <w:rFonts w:ascii="Times New Roman" w:hAnsi="Times New Roman" w:cs="Times New Roman"/>
          <w:sz w:val="24"/>
          <w:szCs w:val="24"/>
        </w:rPr>
        <w:t>vo ou potencial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0A7D8E">
        <w:rPr>
          <w:rFonts w:ascii="Times New Roman" w:hAnsi="Times New Roman" w:cs="Times New Roman"/>
          <w:sz w:val="24"/>
          <w:szCs w:val="24"/>
        </w:rPr>
        <w:t>.</w:t>
      </w:r>
    </w:p>
    <w:p w:rsidR="000A7D8E" w:rsidRDefault="000A7D8E" w:rsidP="00616248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situação sob análise podemos identificar os quatro fatores ensejadores da responsabilização por comportamento contraditório: I) ato inicial consistente no anúncio do afastamento do cargo efetivo para o exercício do mandato, o que provoca a modificação do sujeito passivo da relação jurídica previdenciária, da base de cálculo e da alíquota da contribuição; II) a expectativa legítima da Câmara Municipal no sentido da manutenção daquela situação jurídica anteriormente anunciada, pois não houve anúncio de sua modificação; III) o comportamento posterior de retorno ao exercício do cargo efetivo, sem anunciar essa alteração à Câmara Municipal; IV) dano </w:t>
      </w:r>
      <w:r w:rsidR="00A62393">
        <w:rPr>
          <w:rFonts w:ascii="Times New Roman" w:hAnsi="Times New Roman" w:cs="Times New Roman"/>
          <w:sz w:val="24"/>
          <w:szCs w:val="24"/>
        </w:rPr>
        <w:t xml:space="preserve">à Câmara Municipal ao </w:t>
      </w:r>
      <w:r w:rsidR="001668F6">
        <w:rPr>
          <w:rFonts w:ascii="Times New Roman" w:hAnsi="Times New Roman" w:cs="Times New Roman"/>
          <w:sz w:val="24"/>
          <w:szCs w:val="24"/>
        </w:rPr>
        <w:t>torná</w:t>
      </w:r>
      <w:r w:rsidR="00A62393">
        <w:rPr>
          <w:rFonts w:ascii="Times New Roman" w:hAnsi="Times New Roman" w:cs="Times New Roman"/>
          <w:sz w:val="24"/>
          <w:szCs w:val="24"/>
        </w:rPr>
        <w:t xml:space="preserve">-la inadimplente, na qualidade de responsável tributário, por débitos que deveriam ter sido recolhidos ao INSS e o foram ao </w:t>
      </w:r>
      <w:proofErr w:type="spellStart"/>
      <w:r w:rsidR="00A62393">
        <w:rPr>
          <w:rFonts w:ascii="Times New Roman" w:hAnsi="Times New Roman" w:cs="Times New Roman"/>
          <w:sz w:val="24"/>
          <w:szCs w:val="24"/>
        </w:rPr>
        <w:t>Iprem</w:t>
      </w:r>
      <w:proofErr w:type="spellEnd"/>
      <w:r w:rsidR="00A62393">
        <w:rPr>
          <w:rFonts w:ascii="Times New Roman" w:hAnsi="Times New Roman" w:cs="Times New Roman"/>
          <w:sz w:val="24"/>
          <w:szCs w:val="24"/>
        </w:rPr>
        <w:t>.</w:t>
      </w:r>
    </w:p>
    <w:p w:rsidR="00A62393" w:rsidRDefault="00A62393" w:rsidP="00616248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efeito, recai sobre Vossa Senhoria a responsabilidade pela conduta contraditória revelada, ensejadora de danos efetivos à esfera jurídica da Municipalidade.</w:t>
      </w:r>
    </w:p>
    <w:p w:rsidR="00A62393" w:rsidRDefault="00A62393" w:rsidP="00616248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solução jurídica apontada pela normativa municipal para a reparação dos danos provocados consiste n</w:t>
      </w:r>
      <w:r w:rsidRPr="006A3430">
        <w:rPr>
          <w:rFonts w:ascii="Times New Roman" w:hAnsi="Times New Roman" w:cs="Times New Roman"/>
          <w:sz w:val="24"/>
          <w:szCs w:val="24"/>
        </w:rPr>
        <w:t>o desconto em folha</w:t>
      </w:r>
      <w:r>
        <w:rPr>
          <w:rFonts w:ascii="Times New Roman" w:hAnsi="Times New Roman" w:cs="Times New Roman"/>
          <w:sz w:val="24"/>
          <w:szCs w:val="24"/>
        </w:rPr>
        <w:t xml:space="preserve"> da quantia correspondente aos danos, em parcelas não excedentes à</w:t>
      </w:r>
      <w:r w:rsidRPr="006A3430">
        <w:rPr>
          <w:rFonts w:ascii="Times New Roman" w:hAnsi="Times New Roman" w:cs="Times New Roman"/>
          <w:sz w:val="24"/>
          <w:szCs w:val="24"/>
        </w:rPr>
        <w:t xml:space="preserve"> 10ª (décima) parte do vencimento ou remuneração</w:t>
      </w:r>
      <w:r>
        <w:rPr>
          <w:rFonts w:ascii="Times New Roman" w:hAnsi="Times New Roman" w:cs="Times New Roman"/>
          <w:sz w:val="24"/>
          <w:szCs w:val="24"/>
        </w:rPr>
        <w:t>. Como a remuneração do vereador é paga em sub</w:t>
      </w:r>
      <w:r w:rsidR="001668F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ídio, o valor apurado pela planilha anexa, cujos valores devem ser atualizados até a data do pagamento, devem ser descontados do subsídio do Vereador, em parcelas ainda a serem definidas, consoante a necessidade da Administração, respeitado aquele limite legal.</w:t>
      </w:r>
    </w:p>
    <w:p w:rsidR="00A62393" w:rsidRDefault="00A62393" w:rsidP="00616248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Câmara Municipal vem notificá-lo, então, da imputação da responsabilidade pelos danos causados em sede previdenciária, ao não informar o retorno às atividades do seu cargo efetivo, o que faz modificar a parte passiva da relação jurídica previdenciária, bem como a base de cálculo e a alíquota da contribuição. Tal atitude omissiva, em contraste com a atitude comissiva anterior, violou a confiança da Administração Municipal, fazendo-a incorrer em dano perante a Fazenda Nacional (INSS). Nesse sentido, importa a reparação dos danos, que se fará mediante o desconto em folha da quantia </w:t>
      </w:r>
      <w:r w:rsidR="002B0848">
        <w:rPr>
          <w:rFonts w:ascii="Times New Roman" w:hAnsi="Times New Roman" w:cs="Times New Roman"/>
          <w:sz w:val="24"/>
          <w:szCs w:val="24"/>
        </w:rPr>
        <w:t>apurada, em parcelas nunca excedente</w:t>
      </w:r>
      <w:r w:rsidR="001668F6">
        <w:rPr>
          <w:rFonts w:ascii="Times New Roman" w:hAnsi="Times New Roman" w:cs="Times New Roman"/>
          <w:sz w:val="24"/>
          <w:szCs w:val="24"/>
        </w:rPr>
        <w:t>s</w:t>
      </w:r>
      <w:r w:rsidR="002B0848">
        <w:rPr>
          <w:rFonts w:ascii="Times New Roman" w:hAnsi="Times New Roman" w:cs="Times New Roman"/>
          <w:sz w:val="24"/>
          <w:szCs w:val="24"/>
        </w:rPr>
        <w:t xml:space="preserve"> à décima parte do valor do subsídio percebido.</w:t>
      </w:r>
    </w:p>
    <w:p w:rsidR="002B0848" w:rsidRDefault="002B0848" w:rsidP="00616248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Caso queira, Vossa Excelência pode apresentar defesa administrativa no prazo de 5 dias, lembrando ademais que toda a situação ora narrada já lhe fora repassada em setembro, não havendo de Vossa Senhoria nenhuma resposta. Se Vossa Senhoria novamente não se manifestar, </w:t>
      </w:r>
      <w:r w:rsidR="001668F6">
        <w:rPr>
          <w:rFonts w:ascii="Times New Roman" w:hAnsi="Times New Roman" w:cs="Times New Roman"/>
          <w:sz w:val="24"/>
          <w:szCs w:val="24"/>
        </w:rPr>
        <w:t>fica desde já notificada de</w:t>
      </w:r>
      <w:r>
        <w:rPr>
          <w:rFonts w:ascii="Times New Roman" w:hAnsi="Times New Roman" w:cs="Times New Roman"/>
          <w:sz w:val="24"/>
          <w:szCs w:val="24"/>
        </w:rPr>
        <w:t xml:space="preserve"> que os descontos serão efetuados na forma mencionada.</w:t>
      </w:r>
    </w:p>
    <w:p w:rsidR="002B0848" w:rsidRDefault="002B0848" w:rsidP="00616248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CB0D21" w:rsidRDefault="002B0848" w:rsidP="00616248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os cordiais cumprimentos,</w:t>
      </w:r>
    </w:p>
    <w:p w:rsidR="00245365" w:rsidRDefault="00245365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CB0D21" w:rsidRDefault="008B3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LEANDRO </w:t>
      </w:r>
      <w:r w:rsidR="005637F5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MORAIS</w:t>
      </w:r>
      <w:r w:rsidR="005637F5">
        <w:rPr>
          <w:rFonts w:ascii="Times New Roman" w:hAnsi="Times New Roman" w:cs="Times New Roman"/>
          <w:sz w:val="24"/>
          <w:szCs w:val="24"/>
        </w:rPr>
        <w:t xml:space="preserve"> PEREIRA</w:t>
      </w:r>
    </w:p>
    <w:p w:rsidR="00245365" w:rsidRDefault="009469B2" w:rsidP="009469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Mesa Diretora</w:t>
      </w:r>
    </w:p>
    <w:sectPr w:rsidR="00245365" w:rsidSect="002B0848">
      <w:headerReference w:type="default" r:id="rId8"/>
      <w:pgSz w:w="11906" w:h="16838"/>
      <w:pgMar w:top="2410" w:right="1701" w:bottom="1843" w:left="1701" w:header="1531" w:footer="62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0D7" w:rsidRDefault="005B40D7">
      <w:pPr>
        <w:spacing w:after="0" w:line="240" w:lineRule="auto"/>
      </w:pPr>
      <w:r>
        <w:separator/>
      </w:r>
    </w:p>
  </w:endnote>
  <w:endnote w:type="continuationSeparator" w:id="0">
    <w:p w:rsidR="005B40D7" w:rsidRDefault="005B4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ITCbyB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0D7" w:rsidRDefault="005B40D7">
      <w:pPr>
        <w:spacing w:after="0" w:line="240" w:lineRule="auto"/>
      </w:pPr>
      <w:r>
        <w:separator/>
      </w:r>
    </w:p>
  </w:footnote>
  <w:footnote w:type="continuationSeparator" w:id="0">
    <w:p w:rsidR="005B40D7" w:rsidRDefault="005B40D7">
      <w:pPr>
        <w:spacing w:after="0" w:line="240" w:lineRule="auto"/>
      </w:pPr>
      <w:r>
        <w:continuationSeparator/>
      </w:r>
    </w:p>
  </w:footnote>
  <w:footnote w:id="1">
    <w:p w:rsidR="00A9369E" w:rsidRDefault="00A9369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Calibri" w:hAnsi="Calibri" w:cs="Calibri"/>
        </w:rPr>
        <w:t>Revista da EMERJ, v. 14, n. 53, 2011</w:t>
      </w:r>
      <w:r>
        <w:rPr>
          <w:rFonts w:ascii="ZapfDingbatsITCbyBT-Regular" w:hAnsi="ZapfDingbatsITCbyBT-Regular" w:cs="ZapfDingbatsITCbyBT-Regular"/>
        </w:rPr>
        <w:t>. p.197.</w:t>
      </w:r>
    </w:p>
  </w:footnote>
  <w:footnote w:id="2">
    <w:p w:rsidR="000A7D8E" w:rsidRDefault="000A7D8E">
      <w:pPr>
        <w:pStyle w:val="Textodenotaderodap"/>
      </w:pPr>
      <w:r>
        <w:rPr>
          <w:rStyle w:val="Refdenotaderodap"/>
        </w:rPr>
        <w:footnoteRef/>
      </w:r>
      <w:r>
        <w:t xml:space="preserve"> Ibidem. P. 203.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D21" w:rsidRDefault="009469B2">
    <w:pPr>
      <w:pStyle w:val="Cabealho"/>
      <w:tabs>
        <w:tab w:val="left" w:pos="2550"/>
      </w:tabs>
      <w:jc w:val="right"/>
      <w:rPr>
        <w:rFonts w:ascii="Times New Roman" w:hAnsi="Times New Roman" w:cs="Times New Roman"/>
      </w:rPr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2.05pt;margin-top:-56.05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06650490" r:id="rId2"/>
      </w:object>
    </w:r>
    <w:r w:rsidR="008B3442">
      <w:tab/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771C12" wp14:editId="677CA4D2">
              <wp:simplePos x="0" y="0"/>
              <wp:positionH relativeFrom="column">
                <wp:posOffset>1245235</wp:posOffset>
              </wp:positionH>
              <wp:positionV relativeFrom="paragraph">
                <wp:posOffset>-754380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69B2" w:rsidRPr="00530F3B" w:rsidRDefault="009469B2" w:rsidP="009469B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9469B2" w:rsidRPr="00530F3B" w:rsidRDefault="009469B2" w:rsidP="009469B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9469B2" w:rsidRPr="00530F3B" w:rsidRDefault="009469B2" w:rsidP="009469B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9469B2" w:rsidRPr="00530F3B" w:rsidRDefault="009469B2" w:rsidP="009469B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9469B2" w:rsidRPr="00567341" w:rsidRDefault="009469B2" w:rsidP="009469B2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771C1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98.05pt;margin-top:-59.4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jR39qd8AAAALAQAADwAAAGRycy9kb3du&#10;cmV2LnhtbEyPwU7DMBBE70j8g7VIXFDrOKJVG+JUVQXi3MKFmxtvk4h4ncRuk/L1bE9wnNmn2Zl8&#10;M7lWXHAIjScNap6AQCq9bajS8PnxNluBCNGQNa0n1HDFAJvi/i43mfUj7fFyiJXgEAqZ0VDH2GVS&#10;hrJGZ8Lcd0h8O/nBmchyqKQdzMjhrpVpkiylMw3xh9p0uKux/D6cnQY/vl6dxz5Jn75+3Ptu2+9P&#10;aa/148O0fQERcYp/MNzqc3UouNPRn8kG0bJeLxWjGmZKrXgEI2t1s44anhcLkEUu/28ofgE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CNHf2p3wAAAAsBAAAPAAAAAAAAAAAAAAAAAIcE&#10;AABkcnMvZG93bnJldi54bWxQSwUGAAAAAAQABADzAAAAkwUAAAAA&#10;" strokecolor="white">
              <v:textbox>
                <w:txbxContent>
                  <w:p w:rsidR="009469B2" w:rsidRPr="00530F3B" w:rsidRDefault="009469B2" w:rsidP="009469B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9469B2" w:rsidRPr="00530F3B" w:rsidRDefault="009469B2" w:rsidP="009469B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Francisco, 320 - Primavera – CEP 37.550-000</w:t>
                    </w:r>
                  </w:p>
                  <w:p w:rsidR="009469B2" w:rsidRPr="00530F3B" w:rsidRDefault="009469B2" w:rsidP="009469B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9469B2" w:rsidRPr="00530F3B" w:rsidRDefault="009469B2" w:rsidP="009469B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9469B2" w:rsidRPr="00567341" w:rsidRDefault="009469B2" w:rsidP="009469B2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03A91"/>
    <w:multiLevelType w:val="hybridMultilevel"/>
    <w:tmpl w:val="15B40C2A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21"/>
    <w:rsid w:val="0003548E"/>
    <w:rsid w:val="00043682"/>
    <w:rsid w:val="00063F74"/>
    <w:rsid w:val="00064E5C"/>
    <w:rsid w:val="000A481B"/>
    <w:rsid w:val="000A7D8E"/>
    <w:rsid w:val="000C1987"/>
    <w:rsid w:val="000C7999"/>
    <w:rsid w:val="000D38F4"/>
    <w:rsid w:val="000E3D49"/>
    <w:rsid w:val="001155F9"/>
    <w:rsid w:val="00117E87"/>
    <w:rsid w:val="00124928"/>
    <w:rsid w:val="001668F6"/>
    <w:rsid w:val="00195DFA"/>
    <w:rsid w:val="001E366D"/>
    <w:rsid w:val="002305BF"/>
    <w:rsid w:val="002420B9"/>
    <w:rsid w:val="00245365"/>
    <w:rsid w:val="002A6BA3"/>
    <w:rsid w:val="002B0848"/>
    <w:rsid w:val="002C6F99"/>
    <w:rsid w:val="00301B5E"/>
    <w:rsid w:val="00312A1E"/>
    <w:rsid w:val="003D4700"/>
    <w:rsid w:val="003E2F5F"/>
    <w:rsid w:val="00414BEF"/>
    <w:rsid w:val="00440736"/>
    <w:rsid w:val="004A42CB"/>
    <w:rsid w:val="004D1762"/>
    <w:rsid w:val="004D1B15"/>
    <w:rsid w:val="005162BB"/>
    <w:rsid w:val="00521259"/>
    <w:rsid w:val="005328BB"/>
    <w:rsid w:val="005344F6"/>
    <w:rsid w:val="00534A75"/>
    <w:rsid w:val="005613E8"/>
    <w:rsid w:val="005637F5"/>
    <w:rsid w:val="00563806"/>
    <w:rsid w:val="005B40D7"/>
    <w:rsid w:val="005E1252"/>
    <w:rsid w:val="00607D42"/>
    <w:rsid w:val="00616248"/>
    <w:rsid w:val="00647939"/>
    <w:rsid w:val="00694F0A"/>
    <w:rsid w:val="006A3430"/>
    <w:rsid w:val="006D12DD"/>
    <w:rsid w:val="00700ABB"/>
    <w:rsid w:val="00701BE4"/>
    <w:rsid w:val="00722CFB"/>
    <w:rsid w:val="007D4434"/>
    <w:rsid w:val="007D7C63"/>
    <w:rsid w:val="007F10C6"/>
    <w:rsid w:val="00801BE6"/>
    <w:rsid w:val="00812D1E"/>
    <w:rsid w:val="00814055"/>
    <w:rsid w:val="00840F9A"/>
    <w:rsid w:val="00846DC2"/>
    <w:rsid w:val="00862D81"/>
    <w:rsid w:val="0088300A"/>
    <w:rsid w:val="008B0490"/>
    <w:rsid w:val="008B3442"/>
    <w:rsid w:val="008C5041"/>
    <w:rsid w:val="008D6B3B"/>
    <w:rsid w:val="008F05A5"/>
    <w:rsid w:val="008F2747"/>
    <w:rsid w:val="00907A3C"/>
    <w:rsid w:val="00912B93"/>
    <w:rsid w:val="00924544"/>
    <w:rsid w:val="009469B2"/>
    <w:rsid w:val="00955DE6"/>
    <w:rsid w:val="009A0C8D"/>
    <w:rsid w:val="009C1354"/>
    <w:rsid w:val="009D7DE3"/>
    <w:rsid w:val="00A4396B"/>
    <w:rsid w:val="00A62393"/>
    <w:rsid w:val="00A644E4"/>
    <w:rsid w:val="00A9369E"/>
    <w:rsid w:val="00AA5CE1"/>
    <w:rsid w:val="00B161AE"/>
    <w:rsid w:val="00B42C2D"/>
    <w:rsid w:val="00B845B8"/>
    <w:rsid w:val="00BD5F8C"/>
    <w:rsid w:val="00C60975"/>
    <w:rsid w:val="00C95FD9"/>
    <w:rsid w:val="00CB0D21"/>
    <w:rsid w:val="00CC7372"/>
    <w:rsid w:val="00CF16A3"/>
    <w:rsid w:val="00D1041A"/>
    <w:rsid w:val="00D1344B"/>
    <w:rsid w:val="00D265E8"/>
    <w:rsid w:val="00D354F2"/>
    <w:rsid w:val="00D36E36"/>
    <w:rsid w:val="00D50F58"/>
    <w:rsid w:val="00D53441"/>
    <w:rsid w:val="00D64A1B"/>
    <w:rsid w:val="00D72E28"/>
    <w:rsid w:val="00D80532"/>
    <w:rsid w:val="00E542A5"/>
    <w:rsid w:val="00E77287"/>
    <w:rsid w:val="00ED6CD6"/>
    <w:rsid w:val="00F9318F"/>
    <w:rsid w:val="00FB5349"/>
    <w:rsid w:val="00FD23CA"/>
    <w:rsid w:val="00FD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D2233AC-E6E6-49EE-B289-92051303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3D1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qFormat/>
    <w:rsid w:val="009469B2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9469B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8561B9"/>
  </w:style>
  <w:style w:type="character" w:customStyle="1" w:styleId="RodapChar">
    <w:name w:val="Rodapé Char"/>
    <w:basedOn w:val="Fontepargpadro"/>
    <w:link w:val="Rodap"/>
    <w:uiPriority w:val="99"/>
    <w:qFormat/>
    <w:rsid w:val="008561B9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0797A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8561B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8561B9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0797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856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62D81"/>
    <w:pPr>
      <w:ind w:left="720"/>
      <w:contextualSpacing/>
    </w:pPr>
  </w:style>
  <w:style w:type="paragraph" w:styleId="SemEspaamento">
    <w:name w:val="No Spacing"/>
    <w:uiPriority w:val="1"/>
    <w:qFormat/>
    <w:rsid w:val="007F10C6"/>
    <w:rPr>
      <w:rFonts w:ascii="Arial" w:eastAsia="Times New Roman" w:hAnsi="Arial" w:cs="Times New Roman"/>
      <w:sz w:val="28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369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9369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9369E"/>
    <w:rPr>
      <w:vertAlign w:val="superscript"/>
    </w:rPr>
  </w:style>
  <w:style w:type="character" w:customStyle="1" w:styleId="Ttulo1Char">
    <w:name w:val="Título 1 Char"/>
    <w:basedOn w:val="Fontepargpadro"/>
    <w:link w:val="Ttulo1"/>
    <w:rsid w:val="009469B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469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9469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6896A-B4E5-4281-93EC-32E82307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1385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gab15pc02</dc:creator>
  <dc:description/>
  <cp:lastModifiedBy>RH 01</cp:lastModifiedBy>
  <cp:revision>2</cp:revision>
  <cp:lastPrinted>2018-12-18T17:01:00Z</cp:lastPrinted>
  <dcterms:created xsi:type="dcterms:W3CDTF">2018-12-18T17:02:00Z</dcterms:created>
  <dcterms:modified xsi:type="dcterms:W3CDTF">2018-12-18T17:02:00Z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