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reparos no calçamento da Rua Álvaro Pereira da Costa e da Rua João Rios Sobrinhos, ambas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região. Ademais, o direito à infraestrutura urbana, insculpido na redação do inciso I do artigo 2º da Lei Nº. 10.257, de 10 de julho de 2001, que regulamenta os artigos 182 e 183 da Constituição Federal, estabelece diretrizes gerais da política urbana e dá outras pr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2A7508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7pt;margin-top:1.8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44" w:rsidRDefault="00E60F44" w:rsidP="007F393F">
      <w:r>
        <w:separator/>
      </w:r>
    </w:p>
  </w:endnote>
  <w:endnote w:type="continuationSeparator" w:id="0">
    <w:p w:rsidR="00E60F44" w:rsidRDefault="00E60F4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60F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60F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60F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0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44" w:rsidRDefault="00E60F44" w:rsidP="007F393F">
      <w:r>
        <w:separator/>
      </w:r>
    </w:p>
  </w:footnote>
  <w:footnote w:type="continuationSeparator" w:id="0">
    <w:p w:rsidR="00E60F44" w:rsidRDefault="00E60F4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0F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60F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60F4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60F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0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A7508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0F44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8A9D2F-B1BE-4D27-BE87-70D4FEC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E9DC-B110-4E02-8AE0-2F67AAA1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2018-11-29T18:38:00Z</dcterms:modified>
</cp:coreProperties>
</file>