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reparos no calçamento da Rua Maria Rosa,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região. Ademais, o direito à infraestrutura urbana, insculpido na redação do in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691D69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8pt;margin-top:4.6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BE" w:rsidRDefault="001A24BE" w:rsidP="007F393F">
      <w:r>
        <w:separator/>
      </w:r>
    </w:p>
  </w:endnote>
  <w:endnote w:type="continuationSeparator" w:id="0">
    <w:p w:rsidR="001A24BE" w:rsidRDefault="001A24B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A24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A24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A24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A24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BE" w:rsidRDefault="001A24BE" w:rsidP="007F393F">
      <w:r>
        <w:separator/>
      </w:r>
    </w:p>
  </w:footnote>
  <w:footnote w:type="continuationSeparator" w:id="0">
    <w:p w:rsidR="001A24BE" w:rsidRDefault="001A24B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A24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A24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A24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A24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A24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24B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1D69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993260-6E7A-4D8B-B808-33832905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99AC-CF3A-4FE2-9FB3-BB95B135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2018-11-29T18:26:00Z</dcterms:modified>
</cp:coreProperties>
</file>