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alteração dos artigos 65 e 67 da Lei Municipal nº 4.643/2007, modificada recentemente pela Lei Municipal nº 5.986, de 2018, no sentido de restabelecer a representação do SIPROMAG e do SISEMPA nos Conselhos Deliberativo e Fiscal do IPREM.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Sindicatos SIPROMAG e SISEMPA são categorias distintas e legalmente constituídas, que exercem atos de fiscalização. Dessa forma, deve-se manter a representatividade de cada classe nos Conselhos Deliberativo e Fiscal do IPREM, com o objetivo de garantir o interesse e promover a defesa dos direitos dos servidores municipais.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