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1244</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responsável da Administração Pública a troca dos bloquetes por pavimentação asfáltica nas Ruas do Bairro Boa Vista (Antigo Primavera), nas ruas Três Pontas, Itajubá, Camanducaia, Silvianópolis, Careaçu, Maria da Fé, Cambuí, Santa Catarina, Cristina, Santa Rita do Sapucaí e Brasópolis.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Devido à localização geográfica e atuais pavimentações bloquetadas das Ruas, a água de chuva tem causado o deslocamento dos bloquetes, ocasionando rupturas e destruindo as pavimentações, abrindo buracos entres os bloquetes tornando intransitáveis as vias.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9 de outubro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9 de outubro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