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1A" w:rsidRDefault="00CA4134" w:rsidP="006107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PARECER JURÍDICO/ADM. N. 8</w:t>
      </w:r>
      <w:r w:rsidR="0061071A">
        <w:rPr>
          <w:rFonts w:ascii="Times New Roman" w:hAnsi="Times New Roman"/>
          <w:b/>
          <w:sz w:val="24"/>
          <w:szCs w:val="24"/>
        </w:rPr>
        <w:t>2/2018</w:t>
      </w:r>
    </w:p>
    <w:p w:rsidR="0061071A" w:rsidRPr="0061071A" w:rsidRDefault="0061071A" w:rsidP="006107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1071A" w:rsidRPr="0061071A" w:rsidRDefault="00CA4134" w:rsidP="00CA4134">
      <w:pPr>
        <w:tabs>
          <w:tab w:val="left" w:pos="6330"/>
        </w:tabs>
        <w:spacing w:after="0" w:line="259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0"/>
        </w:rPr>
        <w:t>Licitações. Aplicação do Decreto Federal n. 9412/2018. Considerações.</w:t>
      </w:r>
    </w:p>
    <w:p w:rsidR="0061071A" w:rsidRDefault="0061071A" w:rsidP="0061071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071A" w:rsidRDefault="0061071A" w:rsidP="0061071A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71A" w:rsidRDefault="0061071A" w:rsidP="00CA4134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Foi encaminhado a este </w:t>
      </w:r>
      <w:r w:rsidR="00CA4134">
        <w:rPr>
          <w:rFonts w:ascii="Times New Roman" w:hAnsi="Times New Roman"/>
          <w:sz w:val="24"/>
          <w:szCs w:val="24"/>
        </w:rPr>
        <w:t>departamento consulta do Controle Interno acerca da possibilidade de aplicação imediata, no âmbito municipal, do Decreto Federal n. 9412/2018.</w:t>
      </w:r>
    </w:p>
    <w:p w:rsidR="00CA4134" w:rsidRDefault="00CA4134" w:rsidP="00CA4134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4134" w:rsidRDefault="00CA4134" w:rsidP="00CA4134">
      <w:pPr>
        <w:pStyle w:val="SemEspaamento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ANÁLISE</w:t>
      </w:r>
    </w:p>
    <w:p w:rsidR="00CA4134" w:rsidRDefault="00CA4134" w:rsidP="00CA4134">
      <w:pPr>
        <w:pStyle w:val="SemEspaamento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A4134" w:rsidRDefault="00CA4134" w:rsidP="00CA4134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 prescreve a Lei Nacional de Licitações (LNL) – Lei Federal n. 8666, de 21 de junho de 1993:</w:t>
      </w:r>
    </w:p>
    <w:p w:rsidR="00CA4134" w:rsidRDefault="00CA4134" w:rsidP="00CA4134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4134" w:rsidRPr="00CA4134" w:rsidRDefault="00CA4134" w:rsidP="00CA4134">
      <w:pPr>
        <w:pStyle w:val="NormalWeb"/>
        <w:ind w:left="2268"/>
        <w:jc w:val="both"/>
        <w:rPr>
          <w:color w:val="000000"/>
          <w:sz w:val="22"/>
          <w:szCs w:val="22"/>
        </w:rPr>
      </w:pPr>
      <w:r w:rsidRPr="00CA4134">
        <w:rPr>
          <w:b/>
          <w:color w:val="000000"/>
          <w:sz w:val="22"/>
          <w:szCs w:val="22"/>
        </w:rPr>
        <w:t>Art. 120.</w:t>
      </w:r>
      <w:r w:rsidRPr="00CA4134">
        <w:rPr>
          <w:color w:val="000000"/>
          <w:sz w:val="22"/>
          <w:szCs w:val="22"/>
        </w:rPr>
        <w:t xml:space="preserve">  Os valores fixados por esta Lei poderão ser anualmente revistos pelo Poder Executivo Federal, que os fará publicar no Diário Oficial da União, observando como limite superior a variação geral dos preços do mercado, no período.   </w:t>
      </w:r>
    </w:p>
    <w:p w:rsidR="00CA4134" w:rsidRPr="00CA4134" w:rsidRDefault="00CA4134" w:rsidP="00CA4134">
      <w:pPr>
        <w:pStyle w:val="NormalWeb"/>
        <w:ind w:left="2268"/>
        <w:jc w:val="both"/>
        <w:rPr>
          <w:color w:val="000000"/>
          <w:sz w:val="22"/>
          <w:szCs w:val="22"/>
        </w:rPr>
      </w:pPr>
      <w:r w:rsidRPr="00CA4134">
        <w:rPr>
          <w:b/>
          <w:color w:val="000000"/>
          <w:sz w:val="22"/>
          <w:szCs w:val="22"/>
        </w:rPr>
        <w:t>Art. 23</w:t>
      </w:r>
      <w:r w:rsidRPr="00CA4134">
        <w:rPr>
          <w:color w:val="000000"/>
          <w:sz w:val="22"/>
          <w:szCs w:val="22"/>
        </w:rPr>
        <w:t xml:space="preserve">.  As modalidades de licitação a que se referem os incisos I </w:t>
      </w:r>
      <w:proofErr w:type="gramStart"/>
      <w:r w:rsidRPr="00CA4134">
        <w:rPr>
          <w:color w:val="000000"/>
          <w:sz w:val="22"/>
          <w:szCs w:val="22"/>
        </w:rPr>
        <w:t>a III do artigo anterior serão</w:t>
      </w:r>
      <w:proofErr w:type="gramEnd"/>
      <w:r w:rsidRPr="00CA4134">
        <w:rPr>
          <w:color w:val="000000"/>
          <w:sz w:val="22"/>
          <w:szCs w:val="22"/>
        </w:rPr>
        <w:t xml:space="preserve"> determinadas em função dos seguintes limites, tendo em vista o valor estimado da contratação:</w:t>
      </w:r>
    </w:p>
    <w:p w:rsidR="00CA4134" w:rsidRPr="00CA4134" w:rsidRDefault="00CA4134" w:rsidP="00CA4134">
      <w:pPr>
        <w:pStyle w:val="NormalWeb"/>
        <w:ind w:left="2268"/>
        <w:jc w:val="both"/>
        <w:rPr>
          <w:color w:val="000000"/>
          <w:sz w:val="22"/>
          <w:szCs w:val="22"/>
        </w:rPr>
      </w:pPr>
      <w:bookmarkStart w:id="0" w:name="art23i."/>
      <w:bookmarkStart w:id="1" w:name="art23i"/>
      <w:bookmarkEnd w:id="0"/>
      <w:bookmarkEnd w:id="1"/>
      <w:r w:rsidRPr="00CA4134">
        <w:rPr>
          <w:color w:val="000000"/>
          <w:sz w:val="22"/>
          <w:szCs w:val="22"/>
        </w:rPr>
        <w:t xml:space="preserve">I - </w:t>
      </w:r>
      <w:proofErr w:type="gramStart"/>
      <w:r w:rsidRPr="00CA4134">
        <w:rPr>
          <w:color w:val="000000"/>
          <w:sz w:val="22"/>
          <w:szCs w:val="22"/>
        </w:rPr>
        <w:t>para</w:t>
      </w:r>
      <w:proofErr w:type="gramEnd"/>
      <w:r w:rsidRPr="00CA4134">
        <w:rPr>
          <w:color w:val="000000"/>
          <w:sz w:val="22"/>
          <w:szCs w:val="22"/>
        </w:rPr>
        <w:t xml:space="preserve"> obras e serviços de engenharia:           </w:t>
      </w:r>
      <w:r w:rsidRPr="00CA4134">
        <w:rPr>
          <w:color w:val="000000"/>
          <w:sz w:val="22"/>
          <w:szCs w:val="22"/>
        </w:rPr>
        <w:t xml:space="preserve"> </w:t>
      </w:r>
    </w:p>
    <w:p w:rsidR="00CA4134" w:rsidRPr="00CA4134" w:rsidRDefault="00CA4134" w:rsidP="00CA4134">
      <w:pPr>
        <w:pStyle w:val="NormalWeb"/>
        <w:ind w:left="2268"/>
        <w:jc w:val="both"/>
        <w:rPr>
          <w:color w:val="000000"/>
          <w:sz w:val="22"/>
          <w:szCs w:val="22"/>
        </w:rPr>
      </w:pPr>
      <w:bookmarkStart w:id="2" w:name="art23ia"/>
      <w:bookmarkEnd w:id="2"/>
      <w:r w:rsidRPr="00CA4134">
        <w:rPr>
          <w:color w:val="000000"/>
          <w:sz w:val="22"/>
          <w:szCs w:val="22"/>
        </w:rPr>
        <w:t xml:space="preserve">a) convite - até R$ 150.000,00 (cento e </w:t>
      </w:r>
      <w:proofErr w:type="spellStart"/>
      <w:r w:rsidRPr="00CA4134">
        <w:rPr>
          <w:color w:val="000000"/>
          <w:sz w:val="22"/>
          <w:szCs w:val="22"/>
        </w:rPr>
        <w:t>cinqüenta</w:t>
      </w:r>
      <w:proofErr w:type="spellEnd"/>
      <w:r w:rsidRPr="00CA4134">
        <w:rPr>
          <w:color w:val="000000"/>
          <w:sz w:val="22"/>
          <w:szCs w:val="22"/>
        </w:rPr>
        <w:t xml:space="preserve"> mil reais);    </w:t>
      </w:r>
      <w:r w:rsidRPr="00CA4134">
        <w:rPr>
          <w:color w:val="000000"/>
          <w:sz w:val="22"/>
          <w:szCs w:val="22"/>
        </w:rPr>
        <w:t xml:space="preserve"> </w:t>
      </w:r>
    </w:p>
    <w:p w:rsidR="00CA4134" w:rsidRPr="00CA4134" w:rsidRDefault="00CA4134" w:rsidP="00CA4134">
      <w:pPr>
        <w:pStyle w:val="NormalWeb"/>
        <w:ind w:left="2268"/>
        <w:jc w:val="both"/>
        <w:rPr>
          <w:color w:val="000000"/>
          <w:sz w:val="22"/>
          <w:szCs w:val="22"/>
        </w:rPr>
      </w:pPr>
      <w:bookmarkStart w:id="3" w:name="art23ib"/>
      <w:bookmarkEnd w:id="3"/>
      <w:r w:rsidRPr="00CA4134">
        <w:rPr>
          <w:color w:val="000000"/>
          <w:sz w:val="22"/>
          <w:szCs w:val="22"/>
        </w:rPr>
        <w:t>b) tomada de preços - até R$ 1.500.000,00 (um milhão e quinhentos mil reais);                </w:t>
      </w:r>
      <w:r w:rsidRPr="00CA4134">
        <w:rPr>
          <w:color w:val="000000"/>
          <w:sz w:val="22"/>
          <w:szCs w:val="22"/>
        </w:rPr>
        <w:t xml:space="preserve"> </w:t>
      </w:r>
    </w:p>
    <w:p w:rsidR="00CA4134" w:rsidRPr="00CA4134" w:rsidRDefault="00CA4134" w:rsidP="00CA4134">
      <w:pPr>
        <w:pStyle w:val="NormalWeb"/>
        <w:ind w:left="2268"/>
        <w:jc w:val="both"/>
        <w:rPr>
          <w:color w:val="000000"/>
          <w:sz w:val="22"/>
          <w:szCs w:val="22"/>
        </w:rPr>
      </w:pPr>
      <w:bookmarkStart w:id="4" w:name="art23ic"/>
      <w:bookmarkEnd w:id="4"/>
      <w:r w:rsidRPr="00CA4134">
        <w:rPr>
          <w:color w:val="000000"/>
          <w:sz w:val="22"/>
          <w:szCs w:val="22"/>
        </w:rPr>
        <w:t>c) concorrência: acima de R$ 1.500.000,00 (um milhão e quinhentos mil reais);     </w:t>
      </w:r>
      <w:r w:rsidRPr="00CA4134">
        <w:rPr>
          <w:color w:val="000000"/>
          <w:sz w:val="22"/>
          <w:szCs w:val="22"/>
        </w:rPr>
        <w:t xml:space="preserve"> </w:t>
      </w:r>
    </w:p>
    <w:p w:rsidR="00CA4134" w:rsidRPr="00CA4134" w:rsidRDefault="00CA4134" w:rsidP="00CA4134">
      <w:pPr>
        <w:pStyle w:val="NormalWeb"/>
        <w:ind w:left="2268"/>
        <w:jc w:val="both"/>
        <w:rPr>
          <w:color w:val="000000"/>
          <w:sz w:val="22"/>
          <w:szCs w:val="22"/>
        </w:rPr>
      </w:pPr>
      <w:bookmarkStart w:id="5" w:name="art23ii."/>
      <w:bookmarkStart w:id="6" w:name="art23ii"/>
      <w:bookmarkEnd w:id="5"/>
      <w:bookmarkEnd w:id="6"/>
      <w:r w:rsidRPr="00CA4134">
        <w:rPr>
          <w:color w:val="000000"/>
          <w:sz w:val="22"/>
          <w:szCs w:val="22"/>
        </w:rPr>
        <w:t>II - </w:t>
      </w:r>
      <w:proofErr w:type="gramStart"/>
      <w:r w:rsidRPr="00CA4134">
        <w:rPr>
          <w:color w:val="000000"/>
          <w:sz w:val="22"/>
          <w:szCs w:val="22"/>
        </w:rPr>
        <w:t>para</w:t>
      </w:r>
      <w:proofErr w:type="gramEnd"/>
      <w:r w:rsidRPr="00CA4134">
        <w:rPr>
          <w:color w:val="000000"/>
          <w:sz w:val="22"/>
          <w:szCs w:val="22"/>
        </w:rPr>
        <w:t xml:space="preserve"> compras e serviços não referidos no inciso anterior:      </w:t>
      </w:r>
      <w:r w:rsidRPr="00CA4134">
        <w:rPr>
          <w:color w:val="000000"/>
          <w:sz w:val="22"/>
          <w:szCs w:val="22"/>
        </w:rPr>
        <w:t xml:space="preserve"> </w:t>
      </w:r>
    </w:p>
    <w:p w:rsidR="00CA4134" w:rsidRPr="00CA4134" w:rsidRDefault="00CA4134" w:rsidP="00CA4134">
      <w:pPr>
        <w:pStyle w:val="NormalWeb"/>
        <w:ind w:left="2268"/>
        <w:jc w:val="both"/>
        <w:rPr>
          <w:color w:val="000000"/>
          <w:sz w:val="22"/>
          <w:szCs w:val="22"/>
        </w:rPr>
      </w:pPr>
      <w:bookmarkStart w:id="7" w:name="art23iia"/>
      <w:bookmarkEnd w:id="7"/>
      <w:r w:rsidRPr="00CA4134">
        <w:rPr>
          <w:color w:val="000000"/>
          <w:sz w:val="22"/>
          <w:szCs w:val="22"/>
        </w:rPr>
        <w:t>a) convite - até R$ 80.000,00 (oitenta mil reais);         </w:t>
      </w:r>
      <w:r w:rsidRPr="00CA4134">
        <w:rPr>
          <w:color w:val="000000"/>
          <w:sz w:val="22"/>
          <w:szCs w:val="22"/>
        </w:rPr>
        <w:t xml:space="preserve"> </w:t>
      </w:r>
    </w:p>
    <w:p w:rsidR="00CA4134" w:rsidRPr="00CA4134" w:rsidRDefault="00CA4134" w:rsidP="00CA4134">
      <w:pPr>
        <w:pStyle w:val="NormalWeb"/>
        <w:ind w:left="2268"/>
        <w:jc w:val="both"/>
        <w:rPr>
          <w:color w:val="000000"/>
          <w:sz w:val="22"/>
          <w:szCs w:val="22"/>
        </w:rPr>
      </w:pPr>
      <w:bookmarkStart w:id="8" w:name="art23iib"/>
      <w:bookmarkEnd w:id="8"/>
      <w:r w:rsidRPr="00CA4134">
        <w:rPr>
          <w:color w:val="000000"/>
          <w:sz w:val="22"/>
          <w:szCs w:val="22"/>
        </w:rPr>
        <w:lastRenderedPageBreak/>
        <w:t xml:space="preserve">b) tomada de preços - até R$ 650.000,00 (seiscentos e </w:t>
      </w:r>
      <w:proofErr w:type="spellStart"/>
      <w:r w:rsidRPr="00CA4134">
        <w:rPr>
          <w:color w:val="000000"/>
          <w:sz w:val="22"/>
          <w:szCs w:val="22"/>
        </w:rPr>
        <w:t>cinqüenta</w:t>
      </w:r>
      <w:proofErr w:type="spellEnd"/>
      <w:r w:rsidRPr="00CA4134">
        <w:rPr>
          <w:color w:val="000000"/>
          <w:sz w:val="22"/>
          <w:szCs w:val="22"/>
        </w:rPr>
        <w:t xml:space="preserve"> mil reais);    </w:t>
      </w:r>
      <w:r w:rsidRPr="00CA4134">
        <w:rPr>
          <w:color w:val="000000"/>
          <w:sz w:val="22"/>
          <w:szCs w:val="22"/>
        </w:rPr>
        <w:t xml:space="preserve"> </w:t>
      </w:r>
    </w:p>
    <w:p w:rsidR="00CA4134" w:rsidRDefault="00CA4134" w:rsidP="00CA4134">
      <w:pPr>
        <w:pStyle w:val="NormalWeb"/>
        <w:ind w:left="2268"/>
        <w:jc w:val="both"/>
        <w:rPr>
          <w:color w:val="000000"/>
          <w:sz w:val="22"/>
          <w:szCs w:val="22"/>
        </w:rPr>
      </w:pPr>
      <w:bookmarkStart w:id="9" w:name="art23iic"/>
      <w:bookmarkEnd w:id="9"/>
      <w:r w:rsidRPr="00CA4134">
        <w:rPr>
          <w:color w:val="000000"/>
          <w:sz w:val="22"/>
          <w:szCs w:val="22"/>
        </w:rPr>
        <w:t xml:space="preserve">c) concorrência - acima de R$ 650.000,00 (seiscentos e </w:t>
      </w:r>
      <w:proofErr w:type="spellStart"/>
      <w:r w:rsidRPr="00CA4134">
        <w:rPr>
          <w:color w:val="000000"/>
          <w:sz w:val="22"/>
          <w:szCs w:val="22"/>
        </w:rPr>
        <w:t>cinqüenta</w:t>
      </w:r>
      <w:proofErr w:type="spellEnd"/>
      <w:r w:rsidRPr="00CA4134">
        <w:rPr>
          <w:color w:val="000000"/>
          <w:sz w:val="22"/>
          <w:szCs w:val="22"/>
        </w:rPr>
        <w:t xml:space="preserve"> mil reais).        </w:t>
      </w:r>
    </w:p>
    <w:p w:rsidR="00CA4134" w:rsidRPr="00CA4134" w:rsidRDefault="00CA4134" w:rsidP="00CA4134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71A" w:rsidRDefault="00CA4134" w:rsidP="0061071A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Poder Executivo Federal, valendo-se dos preceitos autorizativos legal (art. 120 da LNL) e constitucional (art. 84, I), editou o Decreto Federal n. 9412/2018, que atualiza os valores fixados na LNL para fins de definição da modalidade licitatória, com repercussão em várias outras questões, como a possibilidade de dispensa de licitação com base no baixo valor: art. 24, I e II da LNL.</w:t>
      </w:r>
    </w:p>
    <w:p w:rsidR="005B1EEE" w:rsidRDefault="00CA4134" w:rsidP="0061071A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Questão </w:t>
      </w:r>
      <w:r w:rsidR="005B1EEE">
        <w:rPr>
          <w:rFonts w:ascii="Times New Roman" w:hAnsi="Times New Roman"/>
          <w:sz w:val="24"/>
          <w:szCs w:val="24"/>
        </w:rPr>
        <w:t xml:space="preserve">que tem suscitado sério debate </w:t>
      </w:r>
      <w:proofErr w:type="spellStart"/>
      <w:r w:rsidR="005B1EEE">
        <w:rPr>
          <w:rFonts w:ascii="Times New Roman" w:hAnsi="Times New Roman"/>
          <w:sz w:val="24"/>
          <w:szCs w:val="24"/>
        </w:rPr>
        <w:t>pertine</w:t>
      </w:r>
      <w:proofErr w:type="spellEnd"/>
      <w:r w:rsidR="005B1EEE">
        <w:rPr>
          <w:rFonts w:ascii="Times New Roman" w:hAnsi="Times New Roman"/>
          <w:sz w:val="24"/>
          <w:szCs w:val="24"/>
        </w:rPr>
        <w:t xml:space="preserve"> à aplicação imediata do Decreto Federal a todos os entes da Federação. Importante à discussão </w:t>
      </w:r>
      <w:proofErr w:type="spellStart"/>
      <w:r w:rsidR="005B1EEE">
        <w:rPr>
          <w:rFonts w:ascii="Times New Roman" w:hAnsi="Times New Roman"/>
          <w:sz w:val="24"/>
          <w:szCs w:val="24"/>
        </w:rPr>
        <w:t>afigura-se-nos</w:t>
      </w:r>
      <w:proofErr w:type="spellEnd"/>
      <w:r w:rsidR="005B1EEE">
        <w:rPr>
          <w:rFonts w:ascii="Times New Roman" w:hAnsi="Times New Roman"/>
          <w:sz w:val="24"/>
          <w:szCs w:val="24"/>
        </w:rPr>
        <w:t xml:space="preserve"> a distinção entre decretos regulamentares gerais e individuais: aqueles têm caráter normativo e traçam regras gerais, enquanto estes têm </w:t>
      </w:r>
      <w:proofErr w:type="spellStart"/>
      <w:r w:rsidR="005B1EEE">
        <w:rPr>
          <w:rFonts w:ascii="Times New Roman" w:hAnsi="Times New Roman"/>
          <w:sz w:val="24"/>
          <w:szCs w:val="24"/>
        </w:rPr>
        <w:t>distanatários</w:t>
      </w:r>
      <w:proofErr w:type="spellEnd"/>
      <w:r w:rsidR="005B1EEE">
        <w:rPr>
          <w:rFonts w:ascii="Times New Roman" w:hAnsi="Times New Roman"/>
          <w:sz w:val="24"/>
          <w:szCs w:val="24"/>
        </w:rPr>
        <w:t xml:space="preserve"> específicos, individualizados</w:t>
      </w:r>
      <w:r w:rsidR="005B1EEE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="005B1EEE">
        <w:rPr>
          <w:rFonts w:ascii="Times New Roman" w:hAnsi="Times New Roman"/>
          <w:sz w:val="24"/>
          <w:szCs w:val="24"/>
        </w:rPr>
        <w:t xml:space="preserve">. Não </w:t>
      </w:r>
      <w:proofErr w:type="gramStart"/>
      <w:r w:rsidR="005B1EEE">
        <w:rPr>
          <w:rFonts w:ascii="Times New Roman" w:hAnsi="Times New Roman"/>
          <w:sz w:val="24"/>
          <w:szCs w:val="24"/>
        </w:rPr>
        <w:t>nos parecer</w:t>
      </w:r>
      <w:proofErr w:type="gramEnd"/>
      <w:r w:rsidR="005B1EEE">
        <w:rPr>
          <w:rFonts w:ascii="Times New Roman" w:hAnsi="Times New Roman"/>
          <w:sz w:val="24"/>
          <w:szCs w:val="24"/>
        </w:rPr>
        <w:t xml:space="preserve"> haver dúvida de que o Decreto Federal n. 9412/2018 traça normas de caráter geral, voltada à complementação da Lei, a teor do que prescreve o art. 120 da LNL.</w:t>
      </w:r>
    </w:p>
    <w:p w:rsidR="005B1EEE" w:rsidRDefault="00F22513" w:rsidP="0061071A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Marçal </w:t>
      </w:r>
      <w:proofErr w:type="spellStart"/>
      <w:r>
        <w:rPr>
          <w:rFonts w:ascii="Times New Roman" w:hAnsi="Times New Roman"/>
          <w:sz w:val="24"/>
          <w:szCs w:val="24"/>
        </w:rPr>
        <w:t>Justen</w:t>
      </w:r>
      <w:proofErr w:type="spellEnd"/>
      <w:r>
        <w:rPr>
          <w:rFonts w:ascii="Times New Roman" w:hAnsi="Times New Roman"/>
          <w:sz w:val="24"/>
          <w:szCs w:val="24"/>
        </w:rPr>
        <w:t xml:space="preserve"> Filho assevera:</w:t>
      </w:r>
    </w:p>
    <w:p w:rsidR="00F22513" w:rsidRDefault="00F22513" w:rsidP="0061071A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2513" w:rsidRPr="001449BC" w:rsidRDefault="00F22513" w:rsidP="001449BC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2"/>
          <w:szCs w:val="22"/>
        </w:rPr>
      </w:pPr>
      <w:r w:rsidRPr="001449BC">
        <w:rPr>
          <w:rFonts w:ascii="Times New Roman" w:hAnsi="Times New Roman"/>
          <w:sz w:val="22"/>
          <w:szCs w:val="22"/>
        </w:rPr>
        <w:t>A Lei 8.666/1993 veicula normas gerais e normas não gerais (especiais) sobre licitações e contratos administrativos. As normas gerais são aquelas que vinculam a todos os entes federativos, enquanto as normas especiais são aquelas de observância obrigatória apenas na órbita da União.</w:t>
      </w:r>
    </w:p>
    <w:p w:rsidR="00F22513" w:rsidRPr="001449BC" w:rsidRDefault="00F22513" w:rsidP="001449BC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2"/>
          <w:szCs w:val="22"/>
        </w:rPr>
      </w:pPr>
      <w:r w:rsidRPr="001449BC">
        <w:rPr>
          <w:rFonts w:ascii="Times New Roman" w:hAnsi="Times New Roman"/>
          <w:sz w:val="22"/>
          <w:szCs w:val="22"/>
        </w:rPr>
        <w:t>Ou seja, o diploma traduz o exercício de duas competências legislativas diversas.  Existem normas nacionais, aplicáveis em todas as esferas federativas. E há normas puramente federais, aplicáveis apenas ao âmbito da União.</w:t>
      </w:r>
    </w:p>
    <w:p w:rsidR="00F22513" w:rsidRPr="001449BC" w:rsidRDefault="00F22513" w:rsidP="001449BC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2"/>
          <w:szCs w:val="22"/>
        </w:rPr>
      </w:pPr>
      <w:r w:rsidRPr="001449BC">
        <w:rPr>
          <w:rFonts w:ascii="Times New Roman" w:hAnsi="Times New Roman"/>
          <w:sz w:val="22"/>
          <w:szCs w:val="22"/>
        </w:rPr>
        <w:lastRenderedPageBreak/>
        <w:t xml:space="preserve">(...) pode-se afirmar que norma geral sobre licitação e contratação administrativa é um conceito jurídico indeterminado cujo núcleo de certeza positiva compreende a disciplina imposta pela União e de </w:t>
      </w:r>
      <w:r w:rsidRPr="001449BC">
        <w:rPr>
          <w:rFonts w:ascii="Times New Roman" w:hAnsi="Times New Roman"/>
          <w:b/>
          <w:sz w:val="22"/>
          <w:szCs w:val="22"/>
        </w:rPr>
        <w:t>observância obrigatória por todos os entes federados</w:t>
      </w:r>
      <w:r w:rsidRPr="001449BC">
        <w:rPr>
          <w:rFonts w:ascii="Times New Roman" w:hAnsi="Times New Roman"/>
          <w:sz w:val="22"/>
          <w:szCs w:val="22"/>
        </w:rPr>
        <w:t xml:space="preserve"> (inclusive da Administração indireta), atinente à disciplina de:</w:t>
      </w:r>
    </w:p>
    <w:p w:rsidR="00F22513" w:rsidRPr="001449BC" w:rsidRDefault="00F22513" w:rsidP="001449BC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2"/>
          <w:szCs w:val="22"/>
        </w:rPr>
      </w:pPr>
      <w:r w:rsidRPr="001449BC">
        <w:rPr>
          <w:rFonts w:ascii="Times New Roman" w:hAnsi="Times New Roman"/>
          <w:sz w:val="22"/>
          <w:szCs w:val="22"/>
        </w:rPr>
        <w:t>a) requisitos mínimos necessários e indispensáveis à validade da contratação administrativa;</w:t>
      </w:r>
    </w:p>
    <w:p w:rsidR="00F22513" w:rsidRPr="001449BC" w:rsidRDefault="00F22513" w:rsidP="001449BC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2"/>
          <w:szCs w:val="22"/>
        </w:rPr>
      </w:pPr>
      <w:r w:rsidRPr="001449BC">
        <w:rPr>
          <w:rFonts w:ascii="Times New Roman" w:hAnsi="Times New Roman"/>
          <w:sz w:val="22"/>
          <w:szCs w:val="22"/>
        </w:rPr>
        <w:t>b) hipóteses de obrigatoriedade e de não obrigatoriedade de licitação;</w:t>
      </w:r>
    </w:p>
    <w:p w:rsidR="00F22513" w:rsidRPr="001449BC" w:rsidRDefault="00F22513" w:rsidP="001449BC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2"/>
          <w:szCs w:val="22"/>
        </w:rPr>
      </w:pPr>
      <w:r w:rsidRPr="001449BC">
        <w:rPr>
          <w:rFonts w:ascii="Times New Roman" w:hAnsi="Times New Roman"/>
          <w:sz w:val="22"/>
          <w:szCs w:val="22"/>
        </w:rPr>
        <w:t>c) requisitos de participação em licitação;</w:t>
      </w:r>
    </w:p>
    <w:p w:rsidR="00F22513" w:rsidRPr="001449BC" w:rsidRDefault="00F22513" w:rsidP="001449BC">
      <w:pPr>
        <w:pStyle w:val="SemEspaamento"/>
        <w:spacing w:line="360" w:lineRule="auto"/>
        <w:ind w:left="2268"/>
        <w:jc w:val="both"/>
        <w:rPr>
          <w:rFonts w:ascii="Times New Roman" w:hAnsi="Times New Roman"/>
          <w:b/>
          <w:sz w:val="22"/>
          <w:szCs w:val="22"/>
        </w:rPr>
      </w:pPr>
      <w:r w:rsidRPr="001449BC">
        <w:rPr>
          <w:rFonts w:ascii="Times New Roman" w:hAnsi="Times New Roman"/>
          <w:b/>
          <w:sz w:val="22"/>
          <w:szCs w:val="22"/>
        </w:rPr>
        <w:t>d) modalidades de licitação;</w:t>
      </w:r>
    </w:p>
    <w:p w:rsidR="00F22513" w:rsidRPr="001449BC" w:rsidRDefault="00F22513" w:rsidP="001449BC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2"/>
          <w:szCs w:val="22"/>
        </w:rPr>
      </w:pPr>
      <w:r w:rsidRPr="001449BC">
        <w:rPr>
          <w:rFonts w:ascii="Times New Roman" w:hAnsi="Times New Roman"/>
          <w:sz w:val="22"/>
          <w:szCs w:val="22"/>
        </w:rPr>
        <w:t>e) tipos de licitação</w:t>
      </w:r>
    </w:p>
    <w:p w:rsidR="00F22513" w:rsidRPr="001449BC" w:rsidRDefault="00F22513" w:rsidP="001449BC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2"/>
          <w:szCs w:val="22"/>
        </w:rPr>
      </w:pPr>
      <w:r w:rsidRPr="001449BC">
        <w:rPr>
          <w:rFonts w:ascii="Times New Roman" w:hAnsi="Times New Roman"/>
          <w:sz w:val="22"/>
          <w:szCs w:val="22"/>
        </w:rPr>
        <w:t>f) regime jurídic</w:t>
      </w:r>
      <w:r w:rsidR="001449BC" w:rsidRPr="001449BC">
        <w:rPr>
          <w:rFonts w:ascii="Times New Roman" w:hAnsi="Times New Roman"/>
          <w:sz w:val="22"/>
          <w:szCs w:val="22"/>
        </w:rPr>
        <w:t>o da contratação administrativa</w:t>
      </w:r>
      <w:r w:rsidR="001449BC" w:rsidRPr="001449BC">
        <w:rPr>
          <w:rStyle w:val="Refdenotaderodap"/>
          <w:rFonts w:ascii="Times New Roman" w:hAnsi="Times New Roman"/>
          <w:sz w:val="22"/>
          <w:szCs w:val="22"/>
        </w:rPr>
        <w:footnoteReference w:id="2"/>
      </w:r>
      <w:r w:rsidR="001449BC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1449BC">
        <w:rPr>
          <w:rFonts w:ascii="Times New Roman" w:hAnsi="Times New Roman"/>
          <w:sz w:val="22"/>
          <w:szCs w:val="22"/>
        </w:rPr>
        <w:t>g.n</w:t>
      </w:r>
      <w:proofErr w:type="spellEnd"/>
      <w:r w:rsidR="001449BC">
        <w:rPr>
          <w:rFonts w:ascii="Times New Roman" w:hAnsi="Times New Roman"/>
          <w:sz w:val="22"/>
          <w:szCs w:val="22"/>
        </w:rPr>
        <w:t>.)</w:t>
      </w:r>
      <w:r w:rsidRPr="001449BC">
        <w:rPr>
          <w:rFonts w:ascii="Times New Roman" w:hAnsi="Times New Roman"/>
          <w:sz w:val="22"/>
          <w:szCs w:val="22"/>
        </w:rPr>
        <w:t>.</w:t>
      </w:r>
    </w:p>
    <w:p w:rsidR="00F22513" w:rsidRDefault="00F22513" w:rsidP="00F22513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2513" w:rsidRDefault="00F22513" w:rsidP="00F22513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2513" w:rsidRDefault="00F22513" w:rsidP="00F22513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Deveras, com relação à aplicação nacional da maioria das disposições da LNL, não pairam dúvidas. Seguindo-se a linha exposta por Marçal, também </w:t>
      </w:r>
      <w:proofErr w:type="gramStart"/>
      <w:r>
        <w:rPr>
          <w:rFonts w:ascii="Times New Roman" w:hAnsi="Times New Roman"/>
          <w:sz w:val="24"/>
          <w:szCs w:val="24"/>
        </w:rPr>
        <w:t>parece-nos</w:t>
      </w:r>
      <w:proofErr w:type="gramEnd"/>
      <w:r>
        <w:rPr>
          <w:rFonts w:ascii="Times New Roman" w:hAnsi="Times New Roman"/>
          <w:sz w:val="24"/>
          <w:szCs w:val="24"/>
        </w:rPr>
        <w:t xml:space="preserve"> que a fixação dos valores definidores das modalidades licitatórias reveste-se de caráter geral, nacional. Sendo assim, não nos parece que a fixação desses valores pudesse ficar ao alvedrio dos entes federativos. A interpretação do art. 120 da LNL não aponta a outro sentido. Ademais, poderia haver distorção do “mercado licitatório” se cada ente federado pudesse fixar diferentemente os valores em função dos quais são definidas </w:t>
      </w:r>
      <w:proofErr w:type="gramStart"/>
      <w:r>
        <w:rPr>
          <w:rFonts w:ascii="Times New Roman" w:hAnsi="Times New Roman"/>
          <w:sz w:val="24"/>
          <w:szCs w:val="24"/>
        </w:rPr>
        <w:t>as modalidade</w:t>
      </w:r>
      <w:proofErr w:type="gramEnd"/>
      <w:r>
        <w:rPr>
          <w:rFonts w:ascii="Times New Roman" w:hAnsi="Times New Roman"/>
          <w:sz w:val="24"/>
          <w:szCs w:val="24"/>
        </w:rPr>
        <w:t xml:space="preserve"> de licitação e de algumas hipóteses de sua dispensa.</w:t>
      </w:r>
    </w:p>
    <w:p w:rsidR="00F22513" w:rsidRDefault="00F22513" w:rsidP="00F22513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ED8" w:rsidRDefault="00F22513" w:rsidP="00F22513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efeito, ao viso do </w:t>
      </w:r>
      <w:proofErr w:type="spellStart"/>
      <w:r>
        <w:rPr>
          <w:rFonts w:ascii="Times New Roman" w:hAnsi="Times New Roman"/>
          <w:sz w:val="24"/>
          <w:szCs w:val="24"/>
        </w:rPr>
        <w:t>parece</w:t>
      </w:r>
      <w:r w:rsidR="000603A8">
        <w:rPr>
          <w:rFonts w:ascii="Times New Roman" w:hAnsi="Times New Roman"/>
          <w:sz w:val="24"/>
          <w:szCs w:val="24"/>
        </w:rPr>
        <w:t>rista</w:t>
      </w:r>
      <w:proofErr w:type="spellEnd"/>
      <w:r w:rsidR="000603A8">
        <w:rPr>
          <w:rFonts w:ascii="Times New Roman" w:hAnsi="Times New Roman"/>
          <w:sz w:val="24"/>
          <w:szCs w:val="24"/>
        </w:rPr>
        <w:t>, o Decreto Federal n. 9412/</w:t>
      </w:r>
      <w:r>
        <w:rPr>
          <w:rFonts w:ascii="Times New Roman" w:hAnsi="Times New Roman"/>
          <w:sz w:val="24"/>
          <w:szCs w:val="24"/>
        </w:rPr>
        <w:t>2018 aplica-se imediatamente aos entes federados, por disposição legal expressa (art. 120 c/</w:t>
      </w:r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 art. 23, c/c art. 1º, todos da LNL). O Decreto Federal em referência regulamenta uma disposição legal nacional, aplicável aos Estados e Municípios, e não jungida ao âmbito da Administração </w:t>
      </w:r>
      <w:r>
        <w:rPr>
          <w:rFonts w:ascii="Times New Roman" w:hAnsi="Times New Roman"/>
          <w:sz w:val="24"/>
          <w:szCs w:val="24"/>
        </w:rPr>
        <w:lastRenderedPageBreak/>
        <w:t>Pública Federal. Não se trata de um decreto de execução pertinente à Administração interna da União, como a extinção de cargos públicos quando vagos, p.ex. (art. 84, VI, “b” da Constituição da República – CR). Trata-se da fixação dos contornos semânticos de uma norma de caráter nacional (art. 23 da LNL). Os valores definidos segundo o Decreto Federal n. 9724/2018 passam a compor o sentido da norma inscul</w:t>
      </w:r>
      <w:r w:rsidR="000C4ED8">
        <w:rPr>
          <w:rFonts w:ascii="Times New Roman" w:hAnsi="Times New Roman"/>
          <w:sz w:val="24"/>
          <w:szCs w:val="24"/>
        </w:rPr>
        <w:t xml:space="preserve">pida no art. 23 da LNL. E, como por força do art. 1º da LNL a disposição do art. 23 aplica-se a todos os entes da Federação, não há por que renegar efeito normativo ao Decreto </w:t>
      </w:r>
      <w:r w:rsidR="000603A8">
        <w:rPr>
          <w:rFonts w:ascii="Times New Roman" w:hAnsi="Times New Roman"/>
          <w:sz w:val="24"/>
          <w:szCs w:val="24"/>
        </w:rPr>
        <w:t>Federal n. 9412</w:t>
      </w:r>
      <w:r w:rsidR="000C4ED8">
        <w:rPr>
          <w:rFonts w:ascii="Times New Roman" w:hAnsi="Times New Roman"/>
          <w:sz w:val="24"/>
          <w:szCs w:val="24"/>
        </w:rPr>
        <w:t xml:space="preserve">/2018. A própria dicção desse normativo regulamentar não restringe aplicabilidade ao âmbito da Administração Pública Federal, como </w:t>
      </w:r>
      <w:proofErr w:type="spellStart"/>
      <w:r w:rsidR="000C4ED8">
        <w:rPr>
          <w:rFonts w:ascii="Times New Roman" w:hAnsi="Times New Roman"/>
          <w:sz w:val="24"/>
          <w:szCs w:val="24"/>
        </w:rPr>
        <w:t>soi</w:t>
      </w:r>
      <w:proofErr w:type="spellEnd"/>
      <w:r w:rsidR="000C4ED8">
        <w:rPr>
          <w:rFonts w:ascii="Times New Roman" w:hAnsi="Times New Roman"/>
          <w:sz w:val="24"/>
          <w:szCs w:val="24"/>
        </w:rPr>
        <w:t xml:space="preserve"> acontecer em outras hipóteses, como nos Decretos n. 3555/2000 e </w:t>
      </w:r>
      <w:r w:rsidR="000C4ED8">
        <w:rPr>
          <w:rFonts w:ascii="Times New Roman" w:hAnsi="Times New Roman"/>
          <w:sz w:val="24"/>
          <w:szCs w:val="24"/>
        </w:rPr>
        <w:t>Decreto 78</w:t>
      </w:r>
      <w:r w:rsidR="000C4ED8">
        <w:rPr>
          <w:rFonts w:ascii="Times New Roman" w:hAnsi="Times New Roman"/>
          <w:sz w:val="24"/>
          <w:szCs w:val="24"/>
        </w:rPr>
        <w:t>9</w:t>
      </w:r>
      <w:r w:rsidR="000C4ED8">
        <w:rPr>
          <w:rFonts w:ascii="Times New Roman" w:hAnsi="Times New Roman"/>
          <w:sz w:val="24"/>
          <w:szCs w:val="24"/>
        </w:rPr>
        <w:t>2/2013</w:t>
      </w:r>
      <w:r w:rsidR="000C4ED8">
        <w:rPr>
          <w:rFonts w:ascii="Times New Roman" w:hAnsi="Times New Roman"/>
          <w:sz w:val="24"/>
          <w:szCs w:val="24"/>
        </w:rPr>
        <w:t xml:space="preserve">, que regulamentam, respectivamente, o pregão e </w:t>
      </w:r>
      <w:r w:rsidR="000C4ED8">
        <w:rPr>
          <w:rFonts w:ascii="Times New Roman" w:hAnsi="Times New Roman"/>
          <w:sz w:val="24"/>
          <w:szCs w:val="24"/>
        </w:rPr>
        <w:t>o sistema de registro de preços no âmbito da União</w:t>
      </w:r>
      <w:r w:rsidR="000C4ED8">
        <w:rPr>
          <w:rFonts w:ascii="Times New Roman" w:hAnsi="Times New Roman"/>
          <w:sz w:val="24"/>
          <w:szCs w:val="24"/>
        </w:rPr>
        <w:t>.</w:t>
      </w:r>
    </w:p>
    <w:p w:rsidR="000C4ED8" w:rsidRDefault="000C4ED8" w:rsidP="00F22513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ED8" w:rsidRDefault="000C4ED8" w:rsidP="00F22513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Não se descure, porém, da seriedade do assunto. </w:t>
      </w:r>
      <w:proofErr w:type="gramStart"/>
      <w:r>
        <w:rPr>
          <w:rFonts w:ascii="Times New Roman" w:hAnsi="Times New Roman"/>
          <w:sz w:val="24"/>
          <w:szCs w:val="24"/>
        </w:rPr>
        <w:t>Interpretação diversa dos órgãos de controle poderiam</w:t>
      </w:r>
      <w:proofErr w:type="gramEnd"/>
      <w:r>
        <w:rPr>
          <w:rFonts w:ascii="Times New Roman" w:hAnsi="Times New Roman"/>
          <w:sz w:val="24"/>
          <w:szCs w:val="24"/>
        </w:rPr>
        <w:t xml:space="preserve"> ensejar desaprovação de contas do ordenador de despesa, com feitas com inobservância das regras gerais do art. 23 da LNL. Assim, recomenda-se, com as ressalvas de melhor juízo, ser pertinente instar o Poder Executivo Municipal para que proceda, mediante decreto municipal, à internalização do disposto no Decreto Federal. Tal medida, que se resolveria com a redação de um artigo ou dois, sanaria qualquer risco de rejeição ou glosa de contas por parte dos órgãos de controle.</w:t>
      </w:r>
    </w:p>
    <w:p w:rsidR="000C4ED8" w:rsidRDefault="000C4ED8" w:rsidP="00F22513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2513" w:rsidRDefault="000C4ED8" w:rsidP="00F22513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Outra medida, igualmente segura, mais talvez mais burocrática, seja a consulta ao TCEMG a respeito da matéria, que importa ao Estado de Minas e aos 853 municípios mineiros. </w:t>
      </w:r>
    </w:p>
    <w:p w:rsidR="000C4ED8" w:rsidRDefault="000C4ED8" w:rsidP="00F22513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ED8" w:rsidRDefault="000C4ED8" w:rsidP="00F22513">
      <w:pPr>
        <w:pStyle w:val="SemEspaamento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CONCLUSÃO</w:t>
      </w:r>
    </w:p>
    <w:p w:rsidR="000C4ED8" w:rsidRDefault="000C4ED8" w:rsidP="00F22513">
      <w:pPr>
        <w:pStyle w:val="SemEspaamento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4ED8" w:rsidRDefault="000C4ED8" w:rsidP="00F22513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 viso do </w:t>
      </w:r>
      <w:proofErr w:type="spellStart"/>
      <w:r>
        <w:rPr>
          <w:rFonts w:ascii="Times New Roman" w:hAnsi="Times New Roman"/>
          <w:sz w:val="24"/>
          <w:szCs w:val="24"/>
        </w:rPr>
        <w:t>parece</w:t>
      </w:r>
      <w:r w:rsidR="000603A8">
        <w:rPr>
          <w:rFonts w:ascii="Times New Roman" w:hAnsi="Times New Roman"/>
          <w:sz w:val="24"/>
          <w:szCs w:val="24"/>
        </w:rPr>
        <w:t>rista</w:t>
      </w:r>
      <w:proofErr w:type="spellEnd"/>
      <w:r w:rsidR="000603A8">
        <w:rPr>
          <w:rFonts w:ascii="Times New Roman" w:hAnsi="Times New Roman"/>
          <w:sz w:val="24"/>
          <w:szCs w:val="24"/>
        </w:rPr>
        <w:t>, o Decreto Federal n. 9412</w:t>
      </w:r>
      <w:r>
        <w:rPr>
          <w:rFonts w:ascii="Times New Roman" w:hAnsi="Times New Roman"/>
          <w:sz w:val="24"/>
          <w:szCs w:val="24"/>
        </w:rPr>
        <w:t xml:space="preserve">/2018, por revestir caráter normativo geral, integrativo do sentido da LNL (art. 23), aplica-se a todos os entes da </w:t>
      </w:r>
      <w:r>
        <w:rPr>
          <w:rFonts w:ascii="Times New Roman" w:hAnsi="Times New Roman"/>
          <w:sz w:val="24"/>
          <w:szCs w:val="24"/>
        </w:rPr>
        <w:lastRenderedPageBreak/>
        <w:t>Federação Brasileira, incluindo-se, por conseguinte, a Administração do Poder Legislativo do Município de Pouso Alegre.</w:t>
      </w:r>
    </w:p>
    <w:p w:rsidR="001449BC" w:rsidRDefault="001449BC" w:rsidP="00F22513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Todavia, por medida de precaução, por se tratar de questão polêmica envolvendo a aplicação concreta de expresso dispositivo legal, com repercussão relevante nas finanças pública, recomenda-se que o Chefe do Poder Legislativo Municipal, valendo-se do que prescreve o art. 48, III, do Regimento Interno, provoque o Poder Executivo a editar decreto municipal internalizando as prescr</w:t>
      </w:r>
      <w:r w:rsidR="000603A8">
        <w:rPr>
          <w:rFonts w:ascii="Times New Roman" w:hAnsi="Times New Roman"/>
          <w:sz w:val="24"/>
          <w:szCs w:val="24"/>
        </w:rPr>
        <w:t>ições do Decreto Federal n. 9412</w:t>
      </w:r>
      <w:r>
        <w:rPr>
          <w:rFonts w:ascii="Times New Roman" w:hAnsi="Times New Roman"/>
          <w:sz w:val="24"/>
          <w:szCs w:val="24"/>
        </w:rPr>
        <w:t xml:space="preserve">/2018. Ou, se preferir, que consulte ao Plenário do TCEMG sobre a aplicação direta e imediata do Decreto </w:t>
      </w:r>
      <w:r w:rsidR="000603A8">
        <w:rPr>
          <w:rFonts w:ascii="Times New Roman" w:hAnsi="Times New Roman"/>
          <w:sz w:val="24"/>
          <w:szCs w:val="24"/>
        </w:rPr>
        <w:t>Federal n. 9412</w:t>
      </w:r>
      <w:bookmarkStart w:id="10" w:name="_GoBack"/>
      <w:bookmarkEnd w:id="10"/>
      <w:r>
        <w:rPr>
          <w:rFonts w:ascii="Times New Roman" w:hAnsi="Times New Roman"/>
          <w:sz w:val="24"/>
          <w:szCs w:val="24"/>
        </w:rPr>
        <w:t>/2018, no âmbito dos municípios mineiros.</w:t>
      </w:r>
    </w:p>
    <w:p w:rsidR="001449BC" w:rsidRDefault="001449BC" w:rsidP="00F22513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9BC" w:rsidRPr="000C4ED8" w:rsidRDefault="001449BC" w:rsidP="00F22513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as ressalvas de melhor juízo, é o parecer. </w:t>
      </w:r>
    </w:p>
    <w:p w:rsidR="0061071A" w:rsidRDefault="0061071A" w:rsidP="006107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4134" w:rsidRDefault="001449BC" w:rsidP="00CA4134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Pouso Alegre, 20</w:t>
      </w:r>
      <w:r w:rsidR="00CA4134">
        <w:rPr>
          <w:rFonts w:ascii="Times New Roman" w:hAnsi="Times New Roman"/>
          <w:sz w:val="24"/>
          <w:szCs w:val="24"/>
        </w:rPr>
        <w:t xml:space="preserve"> de a</w:t>
      </w:r>
      <w:r>
        <w:rPr>
          <w:rFonts w:ascii="Times New Roman" w:hAnsi="Times New Roman"/>
          <w:sz w:val="24"/>
          <w:szCs w:val="24"/>
        </w:rPr>
        <w:t>gosto</w:t>
      </w:r>
      <w:r w:rsidR="00CA4134">
        <w:rPr>
          <w:rFonts w:ascii="Times New Roman" w:hAnsi="Times New Roman"/>
          <w:sz w:val="24"/>
          <w:szCs w:val="24"/>
        </w:rPr>
        <w:t xml:space="preserve"> de 2018.</w:t>
      </w:r>
    </w:p>
    <w:p w:rsidR="00CA4134" w:rsidRDefault="00CA4134" w:rsidP="006107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7D7D" w:rsidRDefault="00667D7D" w:rsidP="006107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71A" w:rsidRDefault="0061071A" w:rsidP="006107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61071A" w:rsidRDefault="0061071A" w:rsidP="006107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TIAGO REIS DA SILVA</w:t>
      </w:r>
    </w:p>
    <w:p w:rsidR="0061071A" w:rsidRDefault="0061071A" w:rsidP="006107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OAB 126729</w:t>
      </w:r>
    </w:p>
    <w:p w:rsidR="0061071A" w:rsidRDefault="0061071A" w:rsidP="0061071A">
      <w:pPr>
        <w:pStyle w:val="SemEspaamento"/>
        <w:spacing w:line="360" w:lineRule="auto"/>
        <w:ind w:left="8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071A" w:rsidRDefault="0061071A" w:rsidP="0061071A">
      <w:pPr>
        <w:pStyle w:val="SemEspaamento"/>
        <w:spacing w:line="360" w:lineRule="auto"/>
        <w:ind w:left="8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CC6D9E" w:rsidRDefault="00CC6D9E"/>
    <w:sectPr w:rsidR="00CC6D9E" w:rsidSect="00C62AB3">
      <w:pgSz w:w="11906" w:h="16838"/>
      <w:pgMar w:top="2410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F2" w:rsidRDefault="00A518F2" w:rsidP="005B1EEE">
      <w:pPr>
        <w:spacing w:after="0" w:line="240" w:lineRule="auto"/>
      </w:pPr>
      <w:r>
        <w:separator/>
      </w:r>
    </w:p>
  </w:endnote>
  <w:endnote w:type="continuationSeparator" w:id="0">
    <w:p w:rsidR="00A518F2" w:rsidRDefault="00A518F2" w:rsidP="005B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F2" w:rsidRDefault="00A518F2" w:rsidP="005B1EEE">
      <w:pPr>
        <w:spacing w:after="0" w:line="240" w:lineRule="auto"/>
      </w:pPr>
      <w:r>
        <w:separator/>
      </w:r>
    </w:p>
  </w:footnote>
  <w:footnote w:type="continuationSeparator" w:id="0">
    <w:p w:rsidR="00A518F2" w:rsidRDefault="00A518F2" w:rsidP="005B1EEE">
      <w:pPr>
        <w:spacing w:after="0" w:line="240" w:lineRule="auto"/>
      </w:pPr>
      <w:r>
        <w:continuationSeparator/>
      </w:r>
    </w:p>
  </w:footnote>
  <w:footnote w:id="1">
    <w:p w:rsidR="005B1EEE" w:rsidRPr="005B1EEE" w:rsidRDefault="005B1EEE">
      <w:pPr>
        <w:pStyle w:val="Textodenotaderodap"/>
      </w:pPr>
      <w:r>
        <w:rPr>
          <w:rStyle w:val="Refdenotaderodap"/>
        </w:rPr>
        <w:footnoteRef/>
      </w:r>
      <w:r>
        <w:t xml:space="preserve"> CARVALHO FILHO, José dos Santos. </w:t>
      </w:r>
      <w:r>
        <w:rPr>
          <w:i/>
        </w:rPr>
        <w:t>Manual de Direito Administrativo</w:t>
      </w:r>
      <w:r>
        <w:t>. 26.ed. São Paulo: Atlas, 2013. p. 136.</w:t>
      </w:r>
    </w:p>
  </w:footnote>
  <w:footnote w:id="2">
    <w:p w:rsidR="001449BC" w:rsidRDefault="001449B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449BC">
        <w:rPr>
          <w:i/>
        </w:rPr>
        <w:t>Comentários à lei de licitações e contratos administrativos</w:t>
      </w:r>
      <w:r w:rsidRPr="001449BC">
        <w:t>. 16. ed. São Paulo: Revista dos Tribunais, 2014, p. 19-21.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1A"/>
    <w:rsid w:val="000603A8"/>
    <w:rsid w:val="000C4ED8"/>
    <w:rsid w:val="001449BC"/>
    <w:rsid w:val="001926E2"/>
    <w:rsid w:val="005B1EEE"/>
    <w:rsid w:val="0061071A"/>
    <w:rsid w:val="00667D7D"/>
    <w:rsid w:val="00A518F2"/>
    <w:rsid w:val="00CA4134"/>
    <w:rsid w:val="00CC6D9E"/>
    <w:rsid w:val="00F22513"/>
    <w:rsid w:val="00FB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62693-C64B-421D-9723-7E649032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71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071A"/>
    <w:pPr>
      <w:spacing w:line="240" w:lineRule="auto"/>
      <w:ind w:firstLine="0"/>
      <w:jc w:val="left"/>
    </w:pPr>
    <w:rPr>
      <w:rFonts w:ascii="Arial" w:eastAsia="Times New Roman" w:hAnsi="Arial" w:cs="Times New Roman"/>
      <w:sz w:val="28"/>
      <w:szCs w:val="20"/>
      <w:lang w:eastAsia="pt-BR"/>
    </w:rPr>
  </w:style>
  <w:style w:type="character" w:styleId="Hyperlink">
    <w:name w:val="Hyperlink"/>
    <w:uiPriority w:val="99"/>
    <w:unhideWhenUsed/>
    <w:rsid w:val="0061071A"/>
    <w:rPr>
      <w:color w:val="0000FF"/>
      <w:u w:val="single"/>
    </w:rPr>
  </w:style>
  <w:style w:type="paragraph" w:customStyle="1" w:styleId="Default">
    <w:name w:val="Default"/>
    <w:rsid w:val="0061071A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41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1EE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1EE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1E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8002-812A-4856-9D08-1DE9B7C6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JUREstágio</dc:creator>
  <cp:keywords/>
  <dc:description/>
  <cp:lastModifiedBy>Tiago</cp:lastModifiedBy>
  <cp:revision>5</cp:revision>
  <dcterms:created xsi:type="dcterms:W3CDTF">2018-08-20T19:30:00Z</dcterms:created>
  <dcterms:modified xsi:type="dcterms:W3CDTF">2018-08-20T20:58:00Z</dcterms:modified>
</cp:coreProperties>
</file>