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Herom Patrício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Herom Patrício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12 de junho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