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132</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responsável da Administração Pública a instalação  de placa de sinalização de "Rua Sem Saída", na  Rua Inês da Costa Shimidt,  no final da Rua Padre Vitor, no Bairro Cascalho, próximo ao n.º 655, em local bem visível.</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Conforme  relatos de moradores, já foi instalada essa placa de sinalização, porém, não está num local visível  causando confusão aos motoristas e colocando em risco os pedestres.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15 de fevereiro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15 de fevereiro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