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102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Avenida Vereador Antônio da Costa Rios, na altura do número 616.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6D375B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veículos abandonados, além de </w:t>
      </w:r>
      <w:proofErr w:type="gramStart"/>
      <w:r>
        <w:rPr>
          <w:rFonts w:ascii="Times New Roman" w:eastAsia="Times New Roman" w:hAnsi="Times New Roman" w:cs="Times New Roman"/>
          <w:szCs w:val="24"/>
        </w:rPr>
        <w:t>serem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uma cicatriz na paisagem urbana, prejudicam o meio ambiente, atrapalham o trânsito, roubam vagas de estacionamento e expõem a sociedade a circunstâncias insalubres decorrentes da ferrugem, vazamento de fluídos e acúmulo de água.</w:t>
      </w:r>
      <w:r w:rsidR="006D375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Conforme o artigo 4º da Lei Municipal Nº 5617/2015, a remoção de veículos ou carcaças de veículos abandonados é competência da Administração Municipal.</w:t>
      </w:r>
      <w:r w:rsidR="006D375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Nesta senda, vale frisar que os veículos abandonados na Avenida Vereador Antônio da Costa Rios, na altura do número 616, além de apresentarem sinais claros de abandono, encontram-se no local há tempo suficiente para serem removidos, mais de trinta dias.</w:t>
      </w:r>
      <w:r w:rsidR="006D375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Ademais, o artigo 225 da Constituição Federal assegura a todos o direito ao meio ambiente ecologicamente equilibrado, impondo ao Poder Público o dever de defendê-lo e preservá-lo.</w:t>
      </w:r>
      <w:r w:rsidR="006D375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Nesse sentido, o inciso I do artigo 3º da Lei Nº. 6.938, de 31 de agosto de 1981/ 10, que dispõe sobre a Política Nacional do Meio Ambiente, salienta que o meio ambiente consiste no conjunto de condições, leis e influências de ordem química, física e biológica que permite, abriga e rege a vida em todas as suas formas.</w:t>
      </w:r>
      <w:r w:rsidR="006D375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Assim, a providência solicitada, mais do que uma obrigação legal da Administração Pública, nos termos da Lei Municipal Nº 5671/2015, é uma medida indispensável para a garantia de um meio ambiente ecologicamente equilibrado</w:t>
      </w:r>
      <w:r w:rsidR="006D375B">
        <w:rPr>
          <w:rFonts w:ascii="Times New Roman" w:eastAsia="Times New Roman" w:hAnsi="Times New Roman" w:cs="Times New Roman"/>
          <w:szCs w:val="24"/>
        </w:rPr>
        <w:t xml:space="preserve"> no espaço urbano do Município. </w:t>
      </w:r>
      <w:r>
        <w:rPr>
          <w:rFonts w:ascii="Times New Roman" w:eastAsia="Times New Roman" w:hAnsi="Times New Roman" w:cs="Times New Roman"/>
          <w:szCs w:val="24"/>
        </w:rPr>
        <w:t>Por fim, resta evidente que a presente solicitação possui todos os requisitos necessários para merecer a acolhida do Poder Executivo, nos exatos termos do artigo 61 da Lei Orgânica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6D375B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483A51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194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de fevereiro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6D3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42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3E" w:rsidRDefault="00A82A3E" w:rsidP="007F393F">
      <w:r>
        <w:separator/>
      </w:r>
    </w:p>
  </w:endnote>
  <w:endnote w:type="continuationSeparator" w:id="0">
    <w:p w:rsidR="00A82A3E" w:rsidRDefault="00A82A3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83A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82A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2A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82A3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2A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3E" w:rsidRDefault="00A82A3E" w:rsidP="007F393F">
      <w:r>
        <w:separator/>
      </w:r>
    </w:p>
  </w:footnote>
  <w:footnote w:type="continuationSeparator" w:id="0">
    <w:p w:rsidR="00A82A3E" w:rsidRDefault="00A82A3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2A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83A5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83A5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82A3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82A3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2A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3A5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75B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2A3E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9BE3-58D8-4B80-90D2-36DF7611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2018-02-05T19:07:00Z</dcterms:modified>
</cp:coreProperties>
</file>