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139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3E5CA0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</w:t>
      </w:r>
      <w:r w:rsidR="003E5CA0">
        <w:rPr>
          <w:color w:val="000000"/>
        </w:rPr>
        <w:t xml:space="preserve">nsável pela respectiva pasta, </w:t>
      </w:r>
      <w:r>
        <w:rPr>
          <w:color w:val="000000"/>
        </w:rPr>
        <w:t xml:space="preserve">informações </w:t>
      </w:r>
      <w:r w:rsidR="003E5CA0">
        <w:rPr>
          <w:color w:val="000000"/>
        </w:rPr>
        <w:t>sobre q</w:t>
      </w:r>
      <w:r w:rsidR="009838C6">
        <w:rPr>
          <w:color w:val="000000"/>
        </w:rPr>
        <w:t>uais são os atuais servidores municipais que estão recebendo função gratificada: FC-1, FC-2, FC-3, FC-4, especificando-se os nomes, setor e função destes.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3E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faz-se necessário uma vez que o Poder Legislativo prioriza a fiscalização acerca dos interesses do município, podendo, assim, dar clareza à população acerca da Administração Pública.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12 de dezembro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2AC2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5CA0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2017-12-12T15:02:00Z</dcterms:modified>
</cp:coreProperties>
</file>