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135 / </w:t>
      </w:r>
      <w:bookmarkStart w:id="0" w:name="_GoBack"/>
      <w:bookmarkEnd w:id="0"/>
      <w:r>
        <w:rPr>
          <w:b/>
          <w:color w:val="000000"/>
        </w:rPr>
        <w:t>2017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3770D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3770DC">
        <w:rPr>
          <w:color w:val="000000"/>
        </w:rPr>
        <w:t xml:space="preserve">que </w:t>
      </w:r>
      <w:r w:rsidR="009838C6">
        <w:rPr>
          <w:color w:val="000000"/>
        </w:rPr>
        <w:t>seja fornecida uma planilha com o levantamento dos 19 (dezenove) milhões gastos com o projeto do aeroporto internacional de cargas.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377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gasto onerou os cofres públicos por tratar de um valor muito alto gasto apenas em projetos, sendo que este dinheiro poderia ter sido revertido em melhorias de várias áreas para a população de nossa cidade.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21 de novembro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0DC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433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2014-01-21T18:06:00Z</cp:lastPrinted>
  <dcterms:created xsi:type="dcterms:W3CDTF">2016-01-14T16:15:00Z</dcterms:created>
  <dcterms:modified xsi:type="dcterms:W3CDTF">2017-11-21T17:03:00Z</dcterms:modified>
</cp:coreProperties>
</file>