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F3D" w:rsidRPr="00E72F3D" w:rsidRDefault="00E72F3D" w:rsidP="00E72F3D">
      <w:pPr>
        <w:spacing w:after="0" w:line="240" w:lineRule="auto"/>
        <w:ind w:left="2835"/>
        <w:jc w:val="both"/>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 xml:space="preserve">PORTARIA Nº </w:t>
      </w:r>
      <w:r w:rsidRPr="00E72F3D">
        <w:rPr>
          <w:rFonts w:ascii="Times New Roman" w:eastAsia="Times New Roman" w:hAnsi="Times New Roman" w:cs="Times New Roman"/>
          <w:b/>
          <w:bCs/>
          <w:color w:val="000000"/>
          <w:lang w:eastAsia="pt-BR"/>
        </w:rPr>
        <w:t>98</w:t>
      </w:r>
      <w:r w:rsidRPr="00E72F3D">
        <w:rPr>
          <w:rFonts w:ascii="Times New Roman" w:eastAsia="Times New Roman" w:hAnsi="Times New Roman" w:cs="Times New Roman"/>
          <w:b/>
          <w:bCs/>
          <w:color w:val="000000"/>
          <w:lang w:eastAsia="pt-BR"/>
        </w:rPr>
        <w:t>/2017</w:t>
      </w:r>
    </w:p>
    <w:p w:rsidR="00E72F3D" w:rsidRPr="00E72F3D" w:rsidRDefault="00E72F3D" w:rsidP="00E72F3D">
      <w:pPr>
        <w:spacing w:after="0" w:line="240" w:lineRule="auto"/>
        <w:ind w:left="2835"/>
        <w:jc w:val="both"/>
        <w:rPr>
          <w:rFonts w:ascii="Times New Roman" w:eastAsia="Times New Roman" w:hAnsi="Times New Roman" w:cs="Times New Roman"/>
          <w:b/>
          <w:bCs/>
          <w:color w:val="000000"/>
          <w:lang w:eastAsia="pt-BR"/>
        </w:rPr>
      </w:pPr>
    </w:p>
    <w:p w:rsidR="00E72F3D" w:rsidRPr="00E72F3D" w:rsidRDefault="00E72F3D" w:rsidP="00E72F3D">
      <w:pPr>
        <w:spacing w:after="0" w:line="240" w:lineRule="auto"/>
        <w:ind w:left="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CONCEDE PROGRESSÃO FUNCIONAL HORIZONTAL AOS SERVIDORES QUE MENCIONA, NOS TERMOS DO ARTIGO 22 DA RESOLUÇÃO Nº 1.194, DE 10 DE DEZEMBRO DE 2013</w:t>
      </w:r>
    </w:p>
    <w:p w:rsidR="00E72F3D" w:rsidRPr="00E72F3D" w:rsidRDefault="00E72F3D" w:rsidP="00E72F3D">
      <w:pPr>
        <w:spacing w:after="0" w:line="240" w:lineRule="auto"/>
        <w:ind w:firstLine="2835"/>
        <w:jc w:val="both"/>
        <w:rPr>
          <w:rFonts w:ascii="Times New Roman" w:eastAsia="Times New Roman" w:hAnsi="Times New Roman" w:cs="Times New Roman"/>
          <w:color w:val="000000"/>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O Presidente da Câmara Municipal de Pouso Alegre, Estado de Minas Gerais, Ver. Adriano César Pereira Braga, no uso de suas atribuições legais, e de conformidade com o inciso I, do art. 115 da Lei Orgânica Municipal, </w:t>
      </w: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os servidores </w:t>
      </w:r>
      <w:r w:rsidRPr="00E72F3D">
        <w:rPr>
          <w:rFonts w:ascii="Times New Roman" w:eastAsia="Times New Roman" w:hAnsi="Times New Roman" w:cs="Times New Roman"/>
          <w:color w:val="000000"/>
          <w:lang w:eastAsia="pt-BR"/>
        </w:rPr>
        <w:t xml:space="preserve">André Albuquerque Oliveira, Daniel César Pereira, Giselle Gláucia Ribeiro Fonseca, </w:t>
      </w:r>
      <w:proofErr w:type="spellStart"/>
      <w:r w:rsidRPr="00E72F3D">
        <w:rPr>
          <w:rFonts w:ascii="Times New Roman" w:eastAsia="Times New Roman" w:hAnsi="Times New Roman" w:cs="Times New Roman"/>
          <w:color w:val="000000"/>
          <w:lang w:eastAsia="pt-BR"/>
        </w:rPr>
        <w:t>Mayke</w:t>
      </w:r>
      <w:proofErr w:type="spellEnd"/>
      <w:r w:rsidRPr="00E72F3D">
        <w:rPr>
          <w:rFonts w:ascii="Times New Roman" w:eastAsia="Times New Roman" w:hAnsi="Times New Roman" w:cs="Times New Roman"/>
          <w:color w:val="000000"/>
          <w:lang w:eastAsia="pt-BR"/>
        </w:rPr>
        <w:t xml:space="preserve"> </w:t>
      </w:r>
      <w:proofErr w:type="spellStart"/>
      <w:r w:rsidRPr="00E72F3D">
        <w:rPr>
          <w:rFonts w:ascii="Times New Roman" w:eastAsia="Times New Roman" w:hAnsi="Times New Roman" w:cs="Times New Roman"/>
          <w:color w:val="000000"/>
          <w:lang w:eastAsia="pt-BR"/>
        </w:rPr>
        <w:t>Ricelli</w:t>
      </w:r>
      <w:proofErr w:type="spellEnd"/>
      <w:r w:rsidRPr="00E72F3D">
        <w:rPr>
          <w:rFonts w:ascii="Times New Roman" w:eastAsia="Times New Roman" w:hAnsi="Times New Roman" w:cs="Times New Roman"/>
          <w:color w:val="000000"/>
          <w:lang w:eastAsia="pt-BR"/>
        </w:rPr>
        <w:t xml:space="preserve"> de Sousa, Nicholas Ferreira da Silva e Sebastião Moreira</w:t>
      </w:r>
      <w:r w:rsidRPr="00E72F3D">
        <w:rPr>
          <w:rFonts w:ascii="Times New Roman" w:eastAsia="Times New Roman" w:hAnsi="Times New Roman" w:cs="Times New Roman"/>
          <w:color w:val="000000"/>
          <w:lang w:eastAsia="pt-BR"/>
        </w:rPr>
        <w:t xml:space="preserve"> cumpriram o interstício mínimo de 3 (três) anos de efetivo exercício no cargo em que se encontram;</w:t>
      </w: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CONSIDERANDO</w:t>
      </w:r>
      <w:r w:rsidRPr="00E72F3D">
        <w:rPr>
          <w:rFonts w:ascii="Times New Roman" w:eastAsia="Times New Roman" w:hAnsi="Times New Roman" w:cs="Times New Roman"/>
          <w:color w:val="000000"/>
          <w:lang w:eastAsia="pt-BR"/>
        </w:rPr>
        <w:t xml:space="preserve"> que os servidores obtiveram, pelo menos, 70 (setenta) pontos na média aritmética de suas últimas Avaliações de Desempenho, ainda não consideradas para efeito da progressão, observadas as normas dispostas na Resolução nº 1.194, de 10 de dezembro de 2013 e em regulamento específico;</w:t>
      </w: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ind w:left="2835" w:right="1134"/>
        <w:jc w:val="both"/>
        <w:rPr>
          <w:rFonts w:ascii="Times New Roman" w:eastAsia="Times New Roman" w:hAnsi="Times New Roman" w:cs="Times New Roman"/>
          <w:lang w:eastAsia="pt-BR"/>
        </w:rPr>
      </w:pPr>
      <w:proofErr w:type="gramStart"/>
      <w:r w:rsidRPr="00E72F3D">
        <w:rPr>
          <w:rFonts w:ascii="Times New Roman" w:eastAsia="Times New Roman" w:hAnsi="Times New Roman" w:cs="Times New Roman"/>
          <w:color w:val="000000"/>
          <w:lang w:eastAsia="pt-BR"/>
        </w:rPr>
        <w:t>expede</w:t>
      </w:r>
      <w:proofErr w:type="gramEnd"/>
      <w:r w:rsidRPr="00E72F3D">
        <w:rPr>
          <w:rFonts w:ascii="Times New Roman" w:eastAsia="Times New Roman" w:hAnsi="Times New Roman" w:cs="Times New Roman"/>
          <w:color w:val="000000"/>
          <w:lang w:eastAsia="pt-BR"/>
        </w:rPr>
        <w:t xml:space="preserve"> a seguinte</w:t>
      </w:r>
    </w:p>
    <w:p w:rsidR="00E72F3D" w:rsidRPr="00E72F3D" w:rsidRDefault="00E72F3D" w:rsidP="00E72F3D">
      <w:pPr>
        <w:spacing w:after="0" w:line="240" w:lineRule="auto"/>
        <w:ind w:left="2835"/>
        <w:rPr>
          <w:rFonts w:ascii="Times New Roman" w:eastAsia="Times New Roman" w:hAnsi="Times New Roman" w:cs="Times New Roman"/>
          <w:b/>
          <w:bCs/>
          <w:color w:val="000000"/>
          <w:lang w:eastAsia="pt-BR"/>
        </w:rPr>
      </w:pPr>
    </w:p>
    <w:p w:rsidR="00E72F3D" w:rsidRPr="00E72F3D" w:rsidRDefault="00E72F3D" w:rsidP="00E72F3D">
      <w:pPr>
        <w:spacing w:after="0" w:line="240" w:lineRule="auto"/>
        <w:ind w:left="2835"/>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PORTARIA</w:t>
      </w:r>
    </w:p>
    <w:p w:rsidR="00E72F3D" w:rsidRPr="00E72F3D" w:rsidRDefault="00E72F3D" w:rsidP="00E72F3D">
      <w:pPr>
        <w:spacing w:after="0" w:line="240" w:lineRule="auto"/>
        <w:ind w:firstLine="2835"/>
        <w:jc w:val="both"/>
        <w:rPr>
          <w:rFonts w:ascii="Times New Roman" w:eastAsia="Times New Roman" w:hAnsi="Times New Roman" w:cs="Times New Roman"/>
          <w:color w:val="000000"/>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Art. 1º - Concede progressão funcional horizontal, nos termos do art. 22, da Resolução nº 1.194, de 10 de </w:t>
      </w:r>
      <w:proofErr w:type="gramStart"/>
      <w:r w:rsidRPr="00E72F3D">
        <w:rPr>
          <w:rFonts w:ascii="Times New Roman" w:eastAsia="Times New Roman" w:hAnsi="Times New Roman" w:cs="Times New Roman"/>
          <w:color w:val="000000"/>
          <w:lang w:eastAsia="pt-BR"/>
        </w:rPr>
        <w:t>Dezembro</w:t>
      </w:r>
      <w:proofErr w:type="gramEnd"/>
      <w:r w:rsidRPr="00E72F3D">
        <w:rPr>
          <w:rFonts w:ascii="Times New Roman" w:eastAsia="Times New Roman" w:hAnsi="Times New Roman" w:cs="Times New Roman"/>
          <w:color w:val="000000"/>
          <w:lang w:eastAsia="pt-BR"/>
        </w:rPr>
        <w:t xml:space="preserve"> de 2013, aos servidores abaixo relacionados, com vencimentos básicos dispostos no Anexo II da Lei nº 5.411/2013.</w:t>
      </w:r>
    </w:p>
    <w:p w:rsidR="00E72F3D" w:rsidRPr="00E72F3D" w:rsidRDefault="00E72F3D" w:rsidP="00E72F3D">
      <w:pPr>
        <w:spacing w:after="0" w:line="240" w:lineRule="auto"/>
        <w:rPr>
          <w:rFonts w:ascii="Times New Roman" w:eastAsia="Times New Roman" w:hAnsi="Times New Roman" w:cs="Times New Roman"/>
          <w:lang w:eastAsia="pt-BR"/>
        </w:rPr>
      </w:pPr>
    </w:p>
    <w:tbl>
      <w:tblPr>
        <w:tblW w:w="9351" w:type="dxa"/>
        <w:tblCellMar>
          <w:top w:w="15" w:type="dxa"/>
          <w:left w:w="15" w:type="dxa"/>
          <w:bottom w:w="15" w:type="dxa"/>
          <w:right w:w="15" w:type="dxa"/>
        </w:tblCellMar>
        <w:tblLook w:val="04A0" w:firstRow="1" w:lastRow="0" w:firstColumn="1" w:lastColumn="0" w:noHBand="0" w:noVBand="1"/>
      </w:tblPr>
      <w:tblGrid>
        <w:gridCol w:w="3256"/>
        <w:gridCol w:w="2551"/>
        <w:gridCol w:w="851"/>
        <w:gridCol w:w="567"/>
        <w:gridCol w:w="708"/>
        <w:gridCol w:w="1418"/>
      </w:tblGrid>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Nome</w:t>
            </w:r>
          </w:p>
        </w:tc>
        <w:tc>
          <w:tcPr>
            <w:tcW w:w="2551"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Cargo</w:t>
            </w:r>
          </w:p>
        </w:tc>
        <w:tc>
          <w:tcPr>
            <w:tcW w:w="851" w:type="dxa"/>
            <w:tcBorders>
              <w:top w:val="single" w:sz="4" w:space="0" w:color="000000"/>
              <w:left w:val="single" w:sz="4" w:space="0" w:color="000000"/>
              <w:bottom w:val="single" w:sz="4" w:space="0" w:color="000000"/>
              <w:right w:val="single" w:sz="4" w:space="0" w:color="000000"/>
            </w:tcBorders>
            <w:shd w:val="clear" w:color="auto" w:fill="F2F2F2"/>
          </w:tcPr>
          <w:p w:rsidR="00E72F3D" w:rsidRPr="00E72F3D" w:rsidRDefault="00E72F3D" w:rsidP="00E72F3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Classe</w:t>
            </w:r>
          </w:p>
        </w:tc>
        <w:tc>
          <w:tcPr>
            <w:tcW w:w="567" w:type="dxa"/>
            <w:tcBorders>
              <w:top w:val="single" w:sz="4" w:space="0" w:color="000000"/>
              <w:left w:val="single" w:sz="4" w:space="0" w:color="000000"/>
              <w:bottom w:val="single" w:sz="4" w:space="0" w:color="000000"/>
              <w:right w:val="single" w:sz="4" w:space="0" w:color="000000"/>
            </w:tcBorders>
            <w:shd w:val="clear" w:color="auto" w:fill="F2F2F2"/>
          </w:tcPr>
          <w:p w:rsidR="00E72F3D" w:rsidRPr="00E72F3D" w:rsidRDefault="00E72F3D" w:rsidP="00E72F3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De</w:t>
            </w:r>
          </w:p>
        </w:tc>
        <w:tc>
          <w:tcPr>
            <w:tcW w:w="708" w:type="dxa"/>
            <w:tcBorders>
              <w:top w:val="single" w:sz="4" w:space="0" w:color="000000"/>
              <w:left w:val="single" w:sz="4" w:space="0" w:color="000000"/>
              <w:bottom w:val="single" w:sz="4" w:space="0" w:color="000000"/>
              <w:right w:val="single" w:sz="4" w:space="0" w:color="000000"/>
            </w:tcBorders>
            <w:shd w:val="clear" w:color="auto" w:fill="F2F2F2"/>
          </w:tcPr>
          <w:p w:rsidR="00E72F3D" w:rsidRPr="00E72F3D" w:rsidRDefault="00E72F3D" w:rsidP="00E72F3D">
            <w:pPr>
              <w:spacing w:after="0" w:line="240" w:lineRule="auto"/>
              <w:jc w:val="center"/>
              <w:rPr>
                <w:rFonts w:ascii="Times New Roman" w:eastAsia="Times New Roman" w:hAnsi="Times New Roman" w:cs="Times New Roman"/>
                <w:b/>
                <w:bCs/>
                <w:color w:val="000000"/>
                <w:lang w:eastAsia="pt-BR"/>
              </w:rPr>
            </w:pPr>
            <w:r w:rsidRPr="00E72F3D">
              <w:rPr>
                <w:rFonts w:ascii="Times New Roman" w:eastAsia="Times New Roman" w:hAnsi="Times New Roman" w:cs="Times New Roman"/>
                <w:b/>
                <w:bCs/>
                <w:color w:val="000000"/>
                <w:lang w:eastAsia="pt-BR"/>
              </w:rPr>
              <w:t>Para</w:t>
            </w:r>
          </w:p>
        </w:tc>
        <w:tc>
          <w:tcPr>
            <w:tcW w:w="1418" w:type="dxa"/>
            <w:tcBorders>
              <w:top w:val="single" w:sz="4" w:space="0" w:color="000000"/>
              <w:left w:val="single" w:sz="4" w:space="0" w:color="000000"/>
              <w:bottom w:val="single" w:sz="4" w:space="0" w:color="000000"/>
              <w:right w:val="single" w:sz="4" w:space="0" w:color="000000"/>
            </w:tcBorders>
            <w:shd w:val="clear" w:color="auto" w:fill="F2F2F2"/>
            <w:tcMar>
              <w:top w:w="0" w:type="dxa"/>
              <w:left w:w="115" w:type="dxa"/>
              <w:bottom w:w="0" w:type="dxa"/>
              <w:right w:w="115" w:type="dxa"/>
            </w:tcMa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A partir de</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André Albuquerque Oliveira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Auxiliar Administrativo</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E</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F</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01/04/2017</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Daniel César Pereira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Auxiliar Administrativo</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E</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F</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01/04/2017</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Giselle Gláucia Ribeiro Fonseca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Auxiliar Administrativo</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H</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01/04/2017</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proofErr w:type="spellStart"/>
            <w:r w:rsidRPr="00E72F3D">
              <w:rPr>
                <w:rFonts w:ascii="Times New Roman" w:eastAsia="Times New Roman" w:hAnsi="Times New Roman" w:cs="Times New Roman"/>
                <w:color w:val="000000"/>
                <w:lang w:eastAsia="pt-BR"/>
              </w:rPr>
              <w:t>Mayke</w:t>
            </w:r>
            <w:proofErr w:type="spellEnd"/>
            <w:r w:rsidRPr="00E72F3D">
              <w:rPr>
                <w:rFonts w:ascii="Times New Roman" w:eastAsia="Times New Roman" w:hAnsi="Times New Roman" w:cs="Times New Roman"/>
                <w:color w:val="000000"/>
                <w:lang w:eastAsia="pt-BR"/>
              </w:rPr>
              <w:t xml:space="preserve"> </w:t>
            </w:r>
            <w:proofErr w:type="spellStart"/>
            <w:r w:rsidRPr="00E72F3D">
              <w:rPr>
                <w:rFonts w:ascii="Times New Roman" w:eastAsia="Times New Roman" w:hAnsi="Times New Roman" w:cs="Times New Roman"/>
                <w:color w:val="000000"/>
                <w:lang w:eastAsia="pt-BR"/>
              </w:rPr>
              <w:t>Riceli</w:t>
            </w:r>
            <w:proofErr w:type="spellEnd"/>
            <w:r w:rsidRPr="00E72F3D">
              <w:rPr>
                <w:rFonts w:ascii="Times New Roman" w:eastAsia="Times New Roman" w:hAnsi="Times New Roman" w:cs="Times New Roman"/>
                <w:color w:val="000000"/>
                <w:lang w:eastAsia="pt-BR"/>
              </w:rPr>
              <w:t xml:space="preserve"> de Sousa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Agente Cultural</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E</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F</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01/04/2017</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Nicholas Ferreira da Silva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Agente Administrativo</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F</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G</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01/04/2017</w:t>
            </w:r>
          </w:p>
        </w:tc>
      </w:tr>
      <w:tr w:rsidR="00E72F3D" w:rsidRPr="00E72F3D" w:rsidTr="00E72F3D">
        <w:trPr>
          <w:trHeight w:val="280"/>
        </w:trPr>
        <w:tc>
          <w:tcPr>
            <w:tcW w:w="3256"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Sebastião Moreira</w:t>
            </w:r>
          </w:p>
        </w:tc>
        <w:tc>
          <w:tcPr>
            <w:tcW w:w="255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Zelador Patrimonial</w:t>
            </w:r>
          </w:p>
        </w:tc>
        <w:tc>
          <w:tcPr>
            <w:tcW w:w="851"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II</w:t>
            </w:r>
          </w:p>
        </w:tc>
        <w:tc>
          <w:tcPr>
            <w:tcW w:w="567"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F</w:t>
            </w:r>
          </w:p>
        </w:tc>
        <w:tc>
          <w:tcPr>
            <w:tcW w:w="708" w:type="dxa"/>
            <w:tcBorders>
              <w:top w:val="single" w:sz="4" w:space="0" w:color="000000"/>
              <w:left w:val="single" w:sz="4" w:space="0" w:color="000000"/>
              <w:bottom w:val="single" w:sz="4" w:space="0" w:color="000000"/>
              <w:right w:val="single" w:sz="4" w:space="0" w:color="000000"/>
            </w:tcBorders>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G</w:t>
            </w:r>
          </w:p>
        </w:tc>
        <w:tc>
          <w:tcPr>
            <w:tcW w:w="1418"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rsidR="00E72F3D" w:rsidRPr="00E72F3D" w:rsidRDefault="00E72F3D" w:rsidP="00E72F3D">
            <w:pPr>
              <w:spacing w:after="0" w:line="240" w:lineRule="auto"/>
              <w:jc w:val="center"/>
              <w:rPr>
                <w:rFonts w:ascii="Times New Roman" w:eastAsia="Times New Roman" w:hAnsi="Times New Roman" w:cs="Times New Roman"/>
                <w:color w:val="000000"/>
                <w:lang w:eastAsia="pt-BR"/>
              </w:rPr>
            </w:pPr>
            <w:r w:rsidRPr="00E72F3D">
              <w:rPr>
                <w:rFonts w:ascii="Times New Roman" w:eastAsia="Times New Roman" w:hAnsi="Times New Roman" w:cs="Times New Roman"/>
                <w:color w:val="000000"/>
                <w:lang w:eastAsia="pt-BR"/>
              </w:rPr>
              <w:t>01/04/2017</w:t>
            </w:r>
          </w:p>
        </w:tc>
      </w:tr>
    </w:tbl>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Art. 2º - Revogadas as disposições em contrário, a presente Portaria entra em vigor na data de sua publicação.</w:t>
      </w: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ind w:firstLine="2835"/>
        <w:jc w:val="both"/>
        <w:rPr>
          <w:rFonts w:ascii="Times New Roman" w:eastAsia="Times New Roman" w:hAnsi="Times New Roman" w:cs="Times New Roman"/>
          <w:lang w:eastAsia="pt-BR"/>
        </w:rPr>
      </w:pPr>
      <w:r w:rsidRPr="00E72F3D">
        <w:rPr>
          <w:rFonts w:ascii="Times New Roman" w:eastAsia="Times New Roman" w:hAnsi="Times New Roman" w:cs="Times New Roman"/>
          <w:b/>
          <w:bCs/>
          <w:color w:val="000000"/>
          <w:lang w:eastAsia="pt-BR"/>
        </w:rPr>
        <w:t>REGISTRE-SE E PUBLIQUE-SE</w:t>
      </w: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rPr>
          <w:rFonts w:ascii="Times New Roman" w:eastAsia="Times New Roman" w:hAnsi="Times New Roman" w:cs="Times New Roman"/>
          <w:lang w:eastAsia="pt-BR"/>
        </w:rPr>
      </w:pPr>
    </w:p>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CÂMARA MUNICIPAL DE POUSO ALEGRE, </w:t>
      </w:r>
      <w:r w:rsidRPr="00E72F3D">
        <w:rPr>
          <w:rFonts w:ascii="Times New Roman" w:eastAsia="Times New Roman" w:hAnsi="Times New Roman" w:cs="Times New Roman"/>
          <w:color w:val="000000"/>
          <w:lang w:eastAsia="pt-BR"/>
        </w:rPr>
        <w:t xml:space="preserve">3 de </w:t>
      </w:r>
      <w:r w:rsidR="00214841">
        <w:rPr>
          <w:rFonts w:ascii="Times New Roman" w:eastAsia="Times New Roman" w:hAnsi="Times New Roman" w:cs="Times New Roman"/>
          <w:color w:val="000000"/>
          <w:lang w:eastAsia="pt-BR"/>
        </w:rPr>
        <w:t>Abril</w:t>
      </w:r>
      <w:bookmarkStart w:id="0" w:name="_GoBack"/>
      <w:bookmarkEnd w:id="0"/>
      <w:r w:rsidRPr="00E72F3D">
        <w:rPr>
          <w:rFonts w:ascii="Times New Roman" w:eastAsia="Times New Roman" w:hAnsi="Times New Roman" w:cs="Times New Roman"/>
          <w:color w:val="000000"/>
          <w:lang w:eastAsia="pt-BR"/>
        </w:rPr>
        <w:t xml:space="preserve"> de 2017.</w:t>
      </w:r>
    </w:p>
    <w:p w:rsidR="00E72F3D" w:rsidRPr="00E72F3D" w:rsidRDefault="00E72F3D" w:rsidP="00E72F3D">
      <w:pPr>
        <w:spacing w:after="0" w:line="240" w:lineRule="auto"/>
        <w:rPr>
          <w:rFonts w:ascii="Times New Roman" w:eastAsia="Times New Roman" w:hAnsi="Times New Roman" w:cs="Times New Roman"/>
          <w:lang w:eastAsia="pt-BR"/>
        </w:rPr>
      </w:pPr>
      <w:r w:rsidRPr="00E72F3D">
        <w:rPr>
          <w:rFonts w:ascii="Times New Roman" w:eastAsia="Times New Roman" w:hAnsi="Times New Roman" w:cs="Times New Roman"/>
          <w:lang w:eastAsia="pt-BR"/>
        </w:rPr>
        <w:br/>
      </w:r>
    </w:p>
    <w:tbl>
      <w:tblPr>
        <w:tblW w:w="0" w:type="auto"/>
        <w:jc w:val="center"/>
        <w:tblCellMar>
          <w:top w:w="15" w:type="dxa"/>
          <w:left w:w="15" w:type="dxa"/>
          <w:bottom w:w="15" w:type="dxa"/>
          <w:right w:w="15" w:type="dxa"/>
        </w:tblCellMar>
        <w:tblLook w:val="04A0" w:firstRow="1" w:lastRow="0" w:firstColumn="1" w:lastColumn="0" w:noHBand="0" w:noVBand="1"/>
      </w:tblPr>
      <w:tblGrid>
        <w:gridCol w:w="3716"/>
      </w:tblGrid>
      <w:tr w:rsidR="00E72F3D" w:rsidRPr="00E72F3D" w:rsidTr="00F20E1A">
        <w:trPr>
          <w:jc w:val="center"/>
        </w:trPr>
        <w:tc>
          <w:tcPr>
            <w:tcW w:w="0" w:type="auto"/>
            <w:tcMar>
              <w:top w:w="0" w:type="dxa"/>
              <w:left w:w="70" w:type="dxa"/>
              <w:bottom w:w="0" w:type="dxa"/>
              <w:right w:w="70" w:type="dxa"/>
            </w:tcMa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ADRIANO CÉSAR PEREIRA BRAGA</w:t>
            </w:r>
          </w:p>
        </w:tc>
      </w:tr>
      <w:tr w:rsidR="00E72F3D" w:rsidRPr="00E72F3D" w:rsidTr="00F20E1A">
        <w:trPr>
          <w:jc w:val="center"/>
        </w:trPr>
        <w:tc>
          <w:tcPr>
            <w:tcW w:w="0" w:type="auto"/>
            <w:tcMar>
              <w:top w:w="0" w:type="dxa"/>
              <w:left w:w="70" w:type="dxa"/>
              <w:bottom w:w="0" w:type="dxa"/>
              <w:right w:w="70" w:type="dxa"/>
            </w:tcMar>
            <w:hideMark/>
          </w:tcPr>
          <w:p w:rsidR="00E72F3D" w:rsidRPr="00E72F3D" w:rsidRDefault="00E72F3D" w:rsidP="00E72F3D">
            <w:pPr>
              <w:spacing w:after="0" w:line="240" w:lineRule="auto"/>
              <w:jc w:val="center"/>
              <w:rPr>
                <w:rFonts w:ascii="Times New Roman" w:eastAsia="Times New Roman" w:hAnsi="Times New Roman" w:cs="Times New Roman"/>
                <w:lang w:eastAsia="pt-BR"/>
              </w:rPr>
            </w:pPr>
            <w:r w:rsidRPr="00E72F3D">
              <w:rPr>
                <w:rFonts w:ascii="Times New Roman" w:eastAsia="Times New Roman" w:hAnsi="Times New Roman" w:cs="Times New Roman"/>
                <w:color w:val="000000"/>
                <w:lang w:eastAsia="pt-BR"/>
              </w:rPr>
              <w:t xml:space="preserve">PRESIDENTE DA MESA </w:t>
            </w:r>
          </w:p>
        </w:tc>
      </w:tr>
    </w:tbl>
    <w:p w:rsidR="001720CC" w:rsidRPr="00E72F3D" w:rsidRDefault="00214841" w:rsidP="00E72F3D">
      <w:pPr>
        <w:spacing w:after="0" w:line="240" w:lineRule="auto"/>
      </w:pPr>
    </w:p>
    <w:sectPr w:rsidR="001720CC" w:rsidRPr="00E72F3D" w:rsidSect="00E72F3D">
      <w:headerReference w:type="default" r:id="rId4"/>
      <w:pgSz w:w="11906" w:h="16838"/>
      <w:pgMar w:top="2269"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GoudyOlSt BT">
    <w:altName w:val="Bookman Old Style"/>
    <w:charset w:val="00"/>
    <w:family w:val="roman"/>
    <w:pitch w:val="variable"/>
    <w:sig w:usb0="00000007" w:usb1="00000000" w:usb2="00000000" w:usb3="00000000" w:csb0="00000011" w:csb1="00000000"/>
  </w:font>
  <w:font w:name="Calibri Light">
    <w:panose1 w:val="020F0302020204030204"/>
    <w:charset w:val="00"/>
    <w:family w:val="swiss"/>
    <w:pitch w:val="variable"/>
    <w:sig w:usb0="A00002EF" w:usb1="4000207B"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709" w:rsidRDefault="00214841">
    <w:pPr>
      <w:pStyle w:val="Cabealho"/>
    </w:pPr>
    <w:r>
      <w:rPr>
        <w:noProof/>
        <w:lang w:eastAsia="pt-BR"/>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39.3pt;margin-top:-21.7pt;width:86.55pt;height:91.7pt;z-index:251658240" o:allowincell="f" fillcolor="window">
          <v:imagedata r:id="rId1" o:title="" gain="99297f" blacklevel="5243f" grayscale="t"/>
          <w10:wrap type="topAndBottom"/>
        </v:shape>
        <o:OLEObject Type="Embed" ProgID="Word.Picture.8" ShapeID="_x0000_s2050" DrawAspect="Content" ObjectID="_1552732849" r:id="rId2"/>
      </w:object>
    </w:r>
    <w:r>
      <w:rPr>
        <w:noProof/>
        <w:lang w:eastAsia="pt-BR"/>
      </w:rPr>
      <mc:AlternateContent>
        <mc:Choice Requires="wps">
          <w:drawing>
            <wp:anchor distT="0" distB="0" distL="114300" distR="114300" simplePos="0" relativeHeight="251659264" behindDoc="0" locked="0" layoutInCell="1" allowOverlap="1" wp14:anchorId="17704251" wp14:editId="48ACEBBA">
              <wp:simplePos x="0" y="0"/>
              <wp:positionH relativeFrom="column">
                <wp:posOffset>965200</wp:posOffset>
              </wp:positionH>
              <wp:positionV relativeFrom="paragraph">
                <wp:posOffset>-230505</wp:posOffset>
              </wp:positionV>
              <wp:extent cx="4572000" cy="1043305"/>
              <wp:effectExtent l="0" t="0" r="19050" b="23495"/>
              <wp:wrapNone/>
              <wp:docPr id="1" name="Caixa de tex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43305"/>
                      </a:xfrm>
                      <a:prstGeom prst="rect">
                        <a:avLst/>
                      </a:prstGeom>
                      <a:solidFill>
                        <a:srgbClr val="FFFFFF"/>
                      </a:solidFill>
                      <a:ln w="9525">
                        <a:solidFill>
                          <a:srgbClr val="FFFFFF"/>
                        </a:solidFill>
                        <a:miter lim="800000"/>
                        <a:headEnd/>
                        <a:tailEnd/>
                      </a:ln>
                    </wps:spPr>
                    <wps:txbx>
                      <w:txbxContent>
                        <w:p w:rsidR="00663709" w:rsidRPr="00551BA6" w:rsidRDefault="00214841"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214841"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214841"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214841"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3" w:history="1">
                            <w:r w:rsidRPr="00551BA6">
                              <w:rPr>
                                <w:rStyle w:val="Hyperlink"/>
                                <w:rFonts w:ascii="GoudyOlSt BT" w:hAnsi="GoudyOlSt BT"/>
                                <w:i/>
                                <w:color w:val="0D0D0D"/>
                                <w:sz w:val="20"/>
                              </w:rPr>
                              <w:t>cmpa@cmpa.mg.gov.br</w:t>
                            </w:r>
                          </w:hyperlink>
                        </w:p>
                        <w:p w:rsidR="00663709" w:rsidRPr="00567341" w:rsidRDefault="00214841" w:rsidP="00663709">
                          <w:pPr>
                            <w:pStyle w:val="Ttulo2"/>
                            <w:rPr>
                              <w:color w:val="0D0D0D"/>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704251" id="_x0000_t202" coordsize="21600,21600" o:spt="202" path="m,l,21600r21600,l21600,xe">
              <v:stroke joinstyle="miter"/>
              <v:path gradientshapeok="t" o:connecttype="rect"/>
            </v:shapetype>
            <v:shape id="Caixa de texto 1" o:spid="_x0000_s1026" type="#_x0000_t202" style="position:absolute;margin-left:76pt;margin-top:-18.15pt;width:5in;height:8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" strokecolor="white">
              <v:textbox>
                <w:txbxContent>
                  <w:p w:rsidR="00663709" w:rsidRPr="00551BA6" w:rsidRDefault="00214841" w:rsidP="00663709">
                    <w:pPr>
                      <w:pStyle w:val="Ttulo1"/>
                      <w:rPr>
                        <w:rFonts w:ascii="GoudyOlSt BT" w:hAnsi="GoudyOlSt BT"/>
                        <w:i/>
                        <w:caps/>
                        <w:color w:val="auto"/>
                        <w:sz w:val="28"/>
                        <w:szCs w:val="28"/>
                      </w:rPr>
                    </w:pPr>
                    <w:r w:rsidRPr="00551BA6">
                      <w:rPr>
                        <w:rFonts w:ascii="GoudyOlSt BT" w:hAnsi="GoudyOlSt BT"/>
                        <w:i/>
                        <w:caps/>
                        <w:color w:val="auto"/>
                        <w:sz w:val="28"/>
                        <w:szCs w:val="28"/>
                      </w:rPr>
                      <w:t>Câmara Municipal de Pouso Alegre – MG</w:t>
                    </w:r>
                  </w:p>
                  <w:p w:rsidR="00663709" w:rsidRPr="00551BA6" w:rsidRDefault="00214841" w:rsidP="00663709">
                    <w:pPr>
                      <w:pStyle w:val="Ttulo2"/>
                      <w:rPr>
                        <w:rFonts w:ascii="GoudyOlSt BT" w:hAnsi="GoudyOlSt BT"/>
                        <w:i/>
                        <w:color w:val="auto"/>
                        <w:sz w:val="20"/>
                      </w:rPr>
                    </w:pPr>
                    <w:r w:rsidRPr="00551BA6">
                      <w:rPr>
                        <w:rFonts w:ascii="GoudyOlSt BT" w:hAnsi="GoudyOlSt BT"/>
                        <w:i/>
                        <w:color w:val="auto"/>
                        <w:sz w:val="20"/>
                      </w:rPr>
                      <w:t>Avenida São Francisco, 320 - Primavera – CEP 37.550-000</w:t>
                    </w:r>
                  </w:p>
                  <w:p w:rsidR="00663709" w:rsidRPr="00551BA6" w:rsidRDefault="00214841" w:rsidP="00663709">
                    <w:pPr>
                      <w:pStyle w:val="Ttulo2"/>
                      <w:rPr>
                        <w:rFonts w:ascii="GoudyOlSt BT" w:hAnsi="GoudyOlSt BT"/>
                        <w:i/>
                        <w:color w:val="auto"/>
                        <w:sz w:val="20"/>
                      </w:rPr>
                    </w:pPr>
                    <w:r w:rsidRPr="00551BA6">
                      <w:rPr>
                        <w:rFonts w:ascii="GoudyOlSt BT" w:hAnsi="GoudyOlSt BT"/>
                        <w:i/>
                        <w:color w:val="auto"/>
                        <w:sz w:val="20"/>
                      </w:rPr>
                      <w:t>Fones: (35) 3429-6501 – Fax (35) 3429-6550</w:t>
                    </w:r>
                  </w:p>
                  <w:p w:rsidR="00663709" w:rsidRPr="00551BA6" w:rsidRDefault="00214841" w:rsidP="00663709">
                    <w:pPr>
                      <w:pStyle w:val="Ttulo2"/>
                      <w:rPr>
                        <w:rFonts w:ascii="GoudyOlSt BT" w:hAnsi="GoudyOlSt BT"/>
                        <w:i/>
                        <w:color w:val="0D0D0D"/>
                        <w:sz w:val="20"/>
                      </w:rPr>
                    </w:pPr>
                    <w:proofErr w:type="gramStart"/>
                    <w:r w:rsidRPr="00551BA6">
                      <w:rPr>
                        <w:rFonts w:ascii="GoudyOlSt BT" w:hAnsi="GoudyOlSt BT"/>
                        <w:i/>
                        <w:color w:val="auto"/>
                        <w:sz w:val="20"/>
                      </w:rPr>
                      <w:t>e-mail</w:t>
                    </w:r>
                    <w:proofErr w:type="gramEnd"/>
                    <w:r w:rsidRPr="00551BA6">
                      <w:rPr>
                        <w:rFonts w:ascii="GoudyOlSt BT" w:hAnsi="GoudyOlSt BT"/>
                        <w:i/>
                        <w:color w:val="auto"/>
                        <w:sz w:val="20"/>
                      </w:rPr>
                      <w:t xml:space="preserve">: </w:t>
                    </w:r>
                    <w:hyperlink r:id="rId4" w:history="1">
                      <w:r w:rsidRPr="00551BA6">
                        <w:rPr>
                          <w:rStyle w:val="Hyperlink"/>
                          <w:rFonts w:ascii="GoudyOlSt BT" w:hAnsi="GoudyOlSt BT"/>
                          <w:i/>
                          <w:color w:val="0D0D0D"/>
                          <w:sz w:val="20"/>
                        </w:rPr>
                        <w:t>cmpa@cmpa.mg.gov.br</w:t>
                      </w:r>
                    </w:hyperlink>
                  </w:p>
                  <w:p w:rsidR="00663709" w:rsidRPr="00567341" w:rsidRDefault="00214841" w:rsidP="00663709">
                    <w:pPr>
                      <w:pStyle w:val="Ttulo2"/>
                      <w:rPr>
                        <w:color w:val="0D0D0D"/>
                      </w:rPr>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F3D"/>
    <w:rsid w:val="00214841"/>
    <w:rsid w:val="002E7C31"/>
    <w:rsid w:val="00E72F3D"/>
    <w:rsid w:val="00F36F1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E99C2302-C835-42B8-91E1-C0ED4CD98D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72F3D"/>
    <w:pPr>
      <w:keepNext/>
      <w:spacing w:after="0" w:line="240" w:lineRule="auto"/>
      <w:jc w:val="center"/>
      <w:outlineLvl w:val="0"/>
    </w:pPr>
    <w:rPr>
      <w:rFonts w:ascii="Tahoma" w:eastAsia="Times New Roman" w:hAnsi="Tahoma" w:cs="Times New Roman"/>
      <w:b/>
      <w:color w:val="0000FF"/>
      <w:sz w:val="32"/>
      <w:szCs w:val="20"/>
      <w:lang w:eastAsia="pt-BR"/>
    </w:rPr>
  </w:style>
  <w:style w:type="paragraph" w:styleId="Ttulo2">
    <w:name w:val="heading 2"/>
    <w:basedOn w:val="Normal"/>
    <w:next w:val="Normal"/>
    <w:link w:val="Ttulo2Char"/>
    <w:qFormat/>
    <w:rsid w:val="00E72F3D"/>
    <w:pPr>
      <w:keepNext/>
      <w:spacing w:after="0" w:line="240" w:lineRule="auto"/>
      <w:jc w:val="center"/>
      <w:outlineLvl w:val="1"/>
    </w:pPr>
    <w:rPr>
      <w:rFonts w:ascii="Tahoma" w:eastAsia="Times New Roman" w:hAnsi="Tahoma" w:cs="Times New Roman"/>
      <w:b/>
      <w:color w:val="0000FF"/>
      <w:sz w:val="28"/>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E72F3D"/>
    <w:rPr>
      <w:rFonts w:ascii="Tahoma" w:eastAsia="Times New Roman" w:hAnsi="Tahoma" w:cs="Times New Roman"/>
      <w:b/>
      <w:color w:val="0000FF"/>
      <w:sz w:val="32"/>
      <w:szCs w:val="20"/>
      <w:lang w:eastAsia="pt-BR"/>
    </w:rPr>
  </w:style>
  <w:style w:type="character" w:customStyle="1" w:styleId="Ttulo2Char">
    <w:name w:val="Título 2 Char"/>
    <w:basedOn w:val="Fontepargpadro"/>
    <w:link w:val="Ttulo2"/>
    <w:rsid w:val="00E72F3D"/>
    <w:rPr>
      <w:rFonts w:ascii="Tahoma" w:eastAsia="Times New Roman" w:hAnsi="Tahoma" w:cs="Times New Roman"/>
      <w:b/>
      <w:color w:val="0000FF"/>
      <w:sz w:val="28"/>
      <w:szCs w:val="20"/>
      <w:lang w:eastAsia="pt-BR"/>
    </w:rPr>
  </w:style>
  <w:style w:type="paragraph" w:styleId="Cabealho">
    <w:name w:val="header"/>
    <w:basedOn w:val="Normal"/>
    <w:link w:val="CabealhoChar"/>
    <w:uiPriority w:val="99"/>
    <w:unhideWhenUsed/>
    <w:rsid w:val="00E72F3D"/>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E72F3D"/>
  </w:style>
  <w:style w:type="character" w:styleId="Hyperlink">
    <w:name w:val="Hyperlink"/>
    <w:basedOn w:val="Fontepargpadro"/>
    <w:rsid w:val="00E72F3D"/>
    <w:rPr>
      <w:color w:val="0000FF"/>
      <w:u w:val="single"/>
    </w:rPr>
  </w:style>
  <w:style w:type="paragraph" w:styleId="Textodebalo">
    <w:name w:val="Balloon Text"/>
    <w:basedOn w:val="Normal"/>
    <w:link w:val="TextodebaloChar"/>
    <w:uiPriority w:val="99"/>
    <w:semiHidden/>
    <w:unhideWhenUsed/>
    <w:rsid w:val="00214841"/>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1484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mailto:cmpa@cmpa.mg.gov.br" TargetMode="External"/><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hyperlink" Target="mailto:cmpa@cmpa.mg.gov.br"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296</Words>
  <Characters>1603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Valéria</dc:creator>
  <cp:keywords/>
  <dc:description/>
  <cp:lastModifiedBy>Valéria</cp:lastModifiedBy>
  <cp:revision>1</cp:revision>
  <cp:lastPrinted>2017-04-03T16:54:00Z</cp:lastPrinted>
  <dcterms:created xsi:type="dcterms:W3CDTF">2017-04-03T16:43:00Z</dcterms:created>
  <dcterms:modified xsi:type="dcterms:W3CDTF">2017-04-03T16:54:00Z</dcterms:modified>
</cp:coreProperties>
</file>