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E676F" w:rsidP="008E676F">
      <w:pPr>
        <w:jc w:val="center"/>
      </w:pPr>
      <w:r>
        <w:t>LEI MUNICIPAL Nº 2.867, 5 DE SETEMBRO DE 1994</w:t>
      </w:r>
    </w:p>
    <w:p w:rsidR="008E676F" w:rsidRDefault="008E676F" w:rsidP="008E676F">
      <w:pPr>
        <w:ind w:left="3969"/>
        <w:jc w:val="both"/>
      </w:pPr>
      <w:r>
        <w:t>Altera o artigo 62 da Lei 2.595/92 e dá outras disposições</w:t>
      </w:r>
    </w:p>
    <w:p w:rsidR="008E676F" w:rsidRDefault="008E676F" w:rsidP="008E676F">
      <w:pPr>
        <w:ind w:left="3969"/>
      </w:pPr>
    </w:p>
    <w:p w:rsidR="008E676F" w:rsidRDefault="008E676F" w:rsidP="008E676F">
      <w:pPr>
        <w:ind w:firstLine="567"/>
        <w:jc w:val="both"/>
      </w:pPr>
      <w:r>
        <w:t>Art. 1º - O artigo 62 da Lei 2.595/92, passa a vigorar com a seguinte redação:</w:t>
      </w:r>
    </w:p>
    <w:p w:rsidR="008E676F" w:rsidRDefault="008E676F" w:rsidP="008E676F">
      <w:pPr>
        <w:ind w:firstLine="567"/>
        <w:jc w:val="both"/>
      </w:pPr>
      <w:r>
        <w:t xml:space="preserve"> “Art. 62 – Durante 24 (vinte e quatro) meses da data da publicação desta Lei, os modelos de assentamento de que trata o art. 53, terão as seguintes características:</w:t>
      </w:r>
    </w:p>
    <w:p w:rsidR="008E676F" w:rsidRDefault="008E676F" w:rsidP="008E676F">
      <w:pPr>
        <w:ind w:firstLine="567"/>
        <w:jc w:val="both"/>
      </w:pPr>
      <w:r>
        <w:t xml:space="preserve"> I – Taxa de ocupação: 80% (oitenta por cento);</w:t>
      </w:r>
    </w:p>
    <w:p w:rsidR="008E676F" w:rsidRDefault="008E676F" w:rsidP="008E676F">
      <w:pPr>
        <w:ind w:firstLine="567"/>
        <w:jc w:val="both"/>
      </w:pPr>
      <w:r>
        <w:t xml:space="preserve"> II – Índice de aproveitamento: 1,6 (um vírgula seis);</w:t>
      </w:r>
    </w:p>
    <w:p w:rsidR="008E676F" w:rsidRDefault="008E676F" w:rsidP="008E676F">
      <w:pPr>
        <w:ind w:firstLine="567"/>
        <w:jc w:val="both"/>
      </w:pPr>
      <w:r>
        <w:t xml:space="preserve"> III – Afastamento frontal: 03 (três) metros;</w:t>
      </w:r>
    </w:p>
    <w:p w:rsidR="008E676F" w:rsidRDefault="008E676F" w:rsidP="008E676F">
      <w:pPr>
        <w:ind w:firstLine="567"/>
        <w:jc w:val="both"/>
      </w:pPr>
      <w:r>
        <w:t xml:space="preserve"> IV – Afastamento lateral e de fundo: zero.</w:t>
      </w:r>
    </w:p>
    <w:p w:rsidR="008E676F" w:rsidRDefault="008E676F" w:rsidP="008E676F">
      <w:pPr>
        <w:ind w:firstLine="567"/>
        <w:jc w:val="both"/>
      </w:pPr>
      <w:r>
        <w:t xml:space="preserve"> </w:t>
      </w:r>
    </w:p>
    <w:p w:rsidR="008E676F" w:rsidRDefault="008E676F" w:rsidP="008E676F">
      <w:pPr>
        <w:ind w:firstLine="567"/>
        <w:jc w:val="both"/>
      </w:pPr>
      <w:r>
        <w:t xml:space="preserve"> § 1º - Após o prazo estabelecido por este artigo, passarão a vigorar as exigências do art. 53 desta Lei.</w:t>
      </w:r>
    </w:p>
    <w:p w:rsidR="008E676F" w:rsidRDefault="008E676F" w:rsidP="008E676F">
      <w:pPr>
        <w:ind w:firstLine="567"/>
        <w:jc w:val="both"/>
      </w:pPr>
      <w:r>
        <w:t xml:space="preserve"> § 2º - As características de assentamento a que se referem este artigo, não se aplicarão aos novos loteamentos que forem aprovados.”.</w:t>
      </w:r>
    </w:p>
    <w:p w:rsidR="008E676F" w:rsidRDefault="008E676F" w:rsidP="008E676F">
      <w:pPr>
        <w:ind w:firstLine="567"/>
        <w:jc w:val="both"/>
      </w:pPr>
      <w:r>
        <w:t xml:space="preserve"> </w:t>
      </w:r>
    </w:p>
    <w:p w:rsidR="008E676F" w:rsidRDefault="008E676F" w:rsidP="008E676F">
      <w:pPr>
        <w:ind w:firstLine="567"/>
        <w:jc w:val="both"/>
      </w:pPr>
      <w:r>
        <w:t xml:space="preserve"> Art. 2º - No caso de construção multifamiliar, em esquina, com entradas independentes para ruas distintas, será obrigatório o recuo frontal em ambas fachadas.</w:t>
      </w:r>
    </w:p>
    <w:p w:rsidR="008E676F" w:rsidRDefault="008E676F" w:rsidP="008E676F">
      <w:pPr>
        <w:ind w:firstLine="567"/>
        <w:jc w:val="both"/>
      </w:pPr>
      <w:r>
        <w:t xml:space="preserve"> § 1º - No caso de construção unifamiliar, o recuo obrigatório será definido em razão da frente da obra.</w:t>
      </w:r>
    </w:p>
    <w:p w:rsidR="008E676F" w:rsidRDefault="008E676F" w:rsidP="008E676F">
      <w:pPr>
        <w:ind w:firstLine="567"/>
        <w:jc w:val="both"/>
      </w:pPr>
      <w:r>
        <w:t xml:space="preserve"> § 2º - No caso de construção multifamiliar, o recuo obrigatório será definido em razão da frente do lote.</w:t>
      </w:r>
    </w:p>
    <w:p w:rsidR="008E676F" w:rsidRDefault="008E676F" w:rsidP="008E676F">
      <w:pPr>
        <w:ind w:firstLine="567"/>
        <w:jc w:val="both"/>
      </w:pPr>
      <w:r>
        <w:t xml:space="preserve"> </w:t>
      </w:r>
    </w:p>
    <w:p w:rsidR="008E676F" w:rsidRDefault="008E676F" w:rsidP="008E676F">
      <w:pPr>
        <w:ind w:firstLine="567"/>
        <w:jc w:val="both"/>
      </w:pPr>
      <w:r>
        <w:t xml:space="preserve"> Art. 3º - Fica estabelecido o prazo de 30 (trinta) dias para que todos os proprietários de imóveis, em situação irregular, possam requerer seu cadastramento junto a Prefeitura Municipal, ficando os mesmos autorizados a legalizarem o imóvel no prazo de 90 (noventa) dias, após vistoria do setor competente.</w:t>
      </w:r>
    </w:p>
    <w:p w:rsidR="008E676F" w:rsidRDefault="008E676F" w:rsidP="008E676F">
      <w:pPr>
        <w:ind w:firstLine="567"/>
        <w:jc w:val="both"/>
      </w:pPr>
      <w:r>
        <w:t xml:space="preserve"> </w:t>
      </w:r>
    </w:p>
    <w:p w:rsidR="008E676F" w:rsidRDefault="008E676F" w:rsidP="008E676F">
      <w:pPr>
        <w:ind w:firstLine="567"/>
        <w:jc w:val="both"/>
      </w:pPr>
      <w:r>
        <w:t xml:space="preserve"> Art. 4º - Revogadas as disposições em contrário, esta Lei entra em vigor na data de sua publicação.</w:t>
      </w:r>
    </w:p>
    <w:p w:rsidR="008E676F" w:rsidRDefault="008E676F" w:rsidP="008E676F">
      <w:pPr>
        <w:ind w:firstLine="567"/>
        <w:jc w:val="both"/>
      </w:pPr>
      <w:bookmarkStart w:id="0" w:name="_GoBack"/>
      <w:bookmarkEnd w:id="0"/>
    </w:p>
    <w:sectPr w:rsidR="008E67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6F"/>
    <w:rsid w:val="008E676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2014-04-29T18:09:00Z</dcterms:created>
  <dcterms:modified xsi:type="dcterms:W3CDTF">2014-04-29T18:09:00Z</dcterms:modified>
</cp:coreProperties>
</file>