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0764D" w:rsidP="0030764D">
      <w:pPr>
        <w:jc w:val="center"/>
      </w:pPr>
      <w:r>
        <w:t>LEI MUNICIPAL Nº 5.215, 10 DE SETEMBRO DE 2012</w:t>
      </w:r>
    </w:p>
    <w:p w:rsidR="0030764D" w:rsidRDefault="0030764D" w:rsidP="0030764D">
      <w:pPr>
        <w:ind w:left="3969"/>
        <w:jc w:val="both"/>
      </w:pPr>
      <w:r>
        <w:t>ALTERA A LEI MUNICIPAL Nº 4820/2009, QUE OBRIGA OS CENTROS DE FORMAÇÃO DE CONDUTORES A PROVIDENCIAR VEÍCULOS ADAPTADOS PARA ALUNOS PORTADORES DE DEFICIÊNCIA FÍSICA OU MOBILIDADE REDUZIDA E DÁ OUTRAS PROVIDÊNCIAS.</w:t>
      </w:r>
    </w:p>
    <w:p w:rsidR="0030764D" w:rsidRDefault="0030764D" w:rsidP="0030764D">
      <w:pPr>
        <w:ind w:left="3969"/>
      </w:pPr>
    </w:p>
    <w:p w:rsidR="0030764D" w:rsidRDefault="0030764D" w:rsidP="0030764D">
      <w:pPr>
        <w:ind w:firstLine="567"/>
        <w:jc w:val="both"/>
      </w:pPr>
      <w:r>
        <w:t>Art. 1º - A ementa da Lei 4820/2009 passará a ter a seguinte redação:</w:t>
      </w:r>
    </w:p>
    <w:p w:rsidR="0030764D" w:rsidRDefault="0030764D" w:rsidP="0030764D">
      <w:pPr>
        <w:ind w:firstLine="567"/>
        <w:jc w:val="both"/>
      </w:pPr>
      <w:r>
        <w:t xml:space="preserve"> </w:t>
      </w:r>
    </w:p>
    <w:p w:rsidR="0030764D" w:rsidRDefault="0030764D" w:rsidP="0030764D">
      <w:pPr>
        <w:ind w:firstLine="567"/>
        <w:jc w:val="both"/>
      </w:pPr>
      <w:r>
        <w:t xml:space="preserve"> "OBRIGA OS CENTROS DE FORMAÇÃO DE CONDUTORES A PROVIDENCIAR VEÍCULOS ADAPTADOS PARA ALUNOS COM DEFICIÊNCIA OU MOBILIDADE REDUZIDA E DÁ OUTRAS PROVIDÊNCIAS."</w:t>
      </w:r>
    </w:p>
    <w:p w:rsidR="0030764D" w:rsidRDefault="0030764D" w:rsidP="0030764D">
      <w:pPr>
        <w:ind w:firstLine="567"/>
        <w:jc w:val="both"/>
      </w:pPr>
      <w:r>
        <w:t xml:space="preserve"> </w:t>
      </w:r>
    </w:p>
    <w:p w:rsidR="0030764D" w:rsidRDefault="0030764D" w:rsidP="0030764D">
      <w:pPr>
        <w:ind w:firstLine="567"/>
        <w:jc w:val="both"/>
      </w:pPr>
      <w:r>
        <w:t xml:space="preserve"> Art. 2º - Altera o parágrafo único do artigo 1º da Lei 4820/2009, que passará a ser parágrafo 1º, e acrescenta ao mesmo artigo o parágrafo 2º, com a seguinte redação:</w:t>
      </w:r>
    </w:p>
    <w:p w:rsidR="0030764D" w:rsidRDefault="0030764D" w:rsidP="0030764D">
      <w:pPr>
        <w:ind w:firstLine="567"/>
        <w:jc w:val="both"/>
      </w:pPr>
      <w:r>
        <w:t xml:space="preserve"> </w:t>
      </w:r>
    </w:p>
    <w:p w:rsidR="0030764D" w:rsidRDefault="0030764D" w:rsidP="0030764D">
      <w:pPr>
        <w:ind w:firstLine="567"/>
        <w:jc w:val="both"/>
      </w:pPr>
      <w:r>
        <w:t xml:space="preserve"> “§ 1ºo. Entende-se por adaptação, para efeitos desta Lei, a inclusão de mecanismos e acessórios em veículos automotores, ou o instrumento necessário, para viabilizar as aulas de direção aos portadores de deficiência ou mobilidade reduzida."</w:t>
      </w:r>
    </w:p>
    <w:p w:rsidR="0030764D" w:rsidRDefault="0030764D" w:rsidP="0030764D">
      <w:pPr>
        <w:ind w:firstLine="567"/>
        <w:jc w:val="both"/>
      </w:pPr>
      <w:r>
        <w:t xml:space="preserve"> </w:t>
      </w:r>
    </w:p>
    <w:p w:rsidR="0030764D" w:rsidRDefault="0030764D" w:rsidP="0030764D">
      <w:pPr>
        <w:ind w:firstLine="567"/>
        <w:jc w:val="both"/>
      </w:pPr>
      <w:r>
        <w:t xml:space="preserve"> §2º. Entende-se por deficiência, para efeitos desta Lei, aquela compatível com a atividade em questão e reconhecida pelo DETRAN, quais sejam:</w:t>
      </w:r>
    </w:p>
    <w:p w:rsidR="0030764D" w:rsidRDefault="0030764D" w:rsidP="0030764D">
      <w:pPr>
        <w:ind w:firstLine="567"/>
        <w:jc w:val="both"/>
      </w:pPr>
      <w:r>
        <w:t xml:space="preserve"> </w:t>
      </w:r>
    </w:p>
    <w:p w:rsidR="0030764D" w:rsidRDefault="0030764D" w:rsidP="0030764D">
      <w:pPr>
        <w:ind w:firstLine="567"/>
        <w:jc w:val="both"/>
      </w:pPr>
      <w:r>
        <w:t xml:space="preserve"> I – deficiência física – alteração completa ou parcial de um ou mais segmentos do corpo humano, acarretando o comprometimento da função física, apresentando-se sob a forma de paraplegia, paraparesia, monoplegia, monoparesia, tetraplegia, tetraparesia, triplegia, tripresia, hemilegia, hemiparesia, amputação ou ausência de membro, paralisia cerebral, membros com deformidade congênita ou adquirida, exceto as deformidades estéticas e as que não produzam dificuldades para o desempenho de funções, encurtamento de membros acima de 10 cm, atrofia e estatura inferior a 1,45cm.</w:t>
      </w:r>
    </w:p>
    <w:p w:rsidR="0030764D" w:rsidRDefault="0030764D" w:rsidP="0030764D">
      <w:pPr>
        <w:ind w:firstLine="567"/>
        <w:jc w:val="both"/>
      </w:pPr>
      <w:r>
        <w:t xml:space="preserve"> </w:t>
      </w:r>
    </w:p>
    <w:p w:rsidR="0030764D" w:rsidRDefault="0030764D" w:rsidP="0030764D">
      <w:pPr>
        <w:ind w:firstLine="567"/>
        <w:jc w:val="both"/>
      </w:pPr>
      <w:r>
        <w:t xml:space="preserve"> II – deficiência auditiva – perda parcial ou total das possibilidades auditivas sonoras, variando de graus e níveis na forma seguinte:</w:t>
      </w:r>
    </w:p>
    <w:p w:rsidR="0030764D" w:rsidRDefault="0030764D" w:rsidP="0030764D">
      <w:pPr>
        <w:ind w:firstLine="567"/>
        <w:jc w:val="both"/>
      </w:pPr>
      <w:r>
        <w:t xml:space="preserve"> De 25 a 40 decibéis (dB) – surdez leve;</w:t>
      </w:r>
    </w:p>
    <w:p w:rsidR="0030764D" w:rsidRDefault="0030764D" w:rsidP="0030764D">
      <w:pPr>
        <w:ind w:firstLine="567"/>
        <w:jc w:val="both"/>
      </w:pPr>
      <w:r>
        <w:lastRenderedPageBreak/>
        <w:t xml:space="preserve"> De 41 a 55 db – surdez moderada;</w:t>
      </w:r>
    </w:p>
    <w:p w:rsidR="0030764D" w:rsidRDefault="0030764D" w:rsidP="0030764D">
      <w:pPr>
        <w:ind w:firstLine="567"/>
        <w:jc w:val="both"/>
      </w:pPr>
      <w:r>
        <w:t xml:space="preserve"> De 56 a 70 db – surdez acentuada;</w:t>
      </w:r>
    </w:p>
    <w:p w:rsidR="0030764D" w:rsidRDefault="0030764D" w:rsidP="0030764D">
      <w:pPr>
        <w:ind w:firstLine="567"/>
        <w:jc w:val="both"/>
      </w:pPr>
      <w:r>
        <w:t xml:space="preserve"> De 71 a 90 db – surdez severa;</w:t>
      </w:r>
    </w:p>
    <w:p w:rsidR="0030764D" w:rsidRDefault="0030764D" w:rsidP="0030764D">
      <w:pPr>
        <w:ind w:firstLine="567"/>
        <w:jc w:val="both"/>
      </w:pPr>
      <w:r>
        <w:t xml:space="preserve"> Acima de 91 db – surdez profunda;</w:t>
      </w:r>
    </w:p>
    <w:p w:rsidR="0030764D" w:rsidRDefault="0030764D" w:rsidP="0030764D">
      <w:pPr>
        <w:ind w:firstLine="567"/>
        <w:jc w:val="both"/>
      </w:pPr>
      <w:r>
        <w:t xml:space="preserve">  Anacusia;</w:t>
      </w:r>
    </w:p>
    <w:p w:rsidR="0030764D" w:rsidRDefault="0030764D" w:rsidP="0030764D">
      <w:pPr>
        <w:ind w:firstLine="567"/>
        <w:jc w:val="both"/>
      </w:pPr>
      <w:r>
        <w:t xml:space="preserve"> </w:t>
      </w:r>
    </w:p>
    <w:p w:rsidR="0030764D" w:rsidRDefault="0030764D" w:rsidP="0030764D">
      <w:pPr>
        <w:ind w:firstLine="567"/>
        <w:jc w:val="both"/>
      </w:pPr>
      <w:r>
        <w:t xml:space="preserve"> Art. 3º - Esta Lei entra em vigor na data de sua publicação, revogando-se as disposições em contrário.</w:t>
      </w:r>
    </w:p>
    <w:p w:rsidR="0030764D" w:rsidRDefault="0030764D" w:rsidP="0030764D">
      <w:pPr>
        <w:ind w:firstLine="567"/>
        <w:jc w:val="both"/>
      </w:pPr>
      <w:bookmarkStart w:id="0" w:name="_GoBack"/>
      <w:bookmarkEnd w:id="0"/>
    </w:p>
    <w:sectPr w:rsidR="00307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D"/>
    <w:rsid w:val="0030764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2014-04-29T04:44:00Z</dcterms:created>
  <dcterms:modified xsi:type="dcterms:W3CDTF">2014-04-29T04:44:00Z</dcterms:modified>
</cp:coreProperties>
</file>