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B8F" w:rsidRPr="00797B8F" w:rsidRDefault="00797B8F" w:rsidP="00797B8F">
      <w:pPr>
        <w:ind w:left="3118"/>
        <w:rPr>
          <w:rFonts w:ascii="Times New Roman" w:hAnsi="Times New Roman"/>
          <w:b/>
          <w:color w:val="000000"/>
          <w:sz w:val="24"/>
          <w:szCs w:val="24"/>
        </w:rPr>
      </w:pPr>
      <w:r w:rsidRPr="00797B8F">
        <w:rPr>
          <w:rFonts w:ascii="Times New Roman" w:hAnsi="Times New Roman"/>
          <w:b/>
          <w:color w:val="000000"/>
          <w:sz w:val="24"/>
          <w:szCs w:val="24"/>
        </w:rPr>
        <w:t xml:space="preserve">LEI Nº </w:t>
      </w:r>
      <w:r w:rsidR="0059584B">
        <w:rPr>
          <w:rFonts w:ascii="Times New Roman" w:hAnsi="Times New Roman"/>
          <w:b/>
          <w:color w:val="000000"/>
          <w:sz w:val="24"/>
          <w:szCs w:val="24"/>
        </w:rPr>
        <w:t>5423</w:t>
      </w:r>
      <w:r w:rsidRPr="00797B8F">
        <w:rPr>
          <w:rFonts w:ascii="Times New Roman" w:hAnsi="Times New Roman"/>
          <w:b/>
          <w:color w:val="000000"/>
          <w:sz w:val="24"/>
          <w:szCs w:val="24"/>
        </w:rPr>
        <w:t>/13</w:t>
      </w:r>
    </w:p>
    <w:p w:rsidR="00797B8F" w:rsidRPr="00797B8F" w:rsidRDefault="00797B8F" w:rsidP="00797B8F">
      <w:pPr>
        <w:spacing w:line="280" w:lineRule="auto"/>
        <w:ind w:left="3118"/>
        <w:rPr>
          <w:rFonts w:ascii="Times New Roman" w:hAnsi="Times New Roman"/>
          <w:b/>
          <w:color w:val="000000"/>
          <w:sz w:val="24"/>
          <w:szCs w:val="24"/>
        </w:rPr>
      </w:pPr>
    </w:p>
    <w:p w:rsidR="00797B8F" w:rsidRPr="00797B8F" w:rsidRDefault="00797B8F" w:rsidP="00797B8F">
      <w:pPr>
        <w:ind w:left="3118"/>
        <w:jc w:val="both"/>
        <w:rPr>
          <w:rFonts w:ascii="Times New Roman" w:hAnsi="Times New Roman"/>
          <w:b/>
          <w:sz w:val="24"/>
          <w:szCs w:val="24"/>
        </w:rPr>
      </w:pPr>
      <w:r w:rsidRPr="00797B8F">
        <w:rPr>
          <w:rFonts w:ascii="Times New Roman" w:hAnsi="Times New Roman"/>
          <w:b/>
          <w:sz w:val="24"/>
          <w:szCs w:val="24"/>
        </w:rPr>
        <w:t xml:space="preserve">ALTERA O ART. 184, 236, 238, 239 E 240 DO CÓDIGO TRIBUTÁRIO MUNICIPAL (LEI N. 1086) E ART. 2º, </w:t>
      </w:r>
      <w:proofErr w:type="gramStart"/>
      <w:r w:rsidRPr="00797B8F">
        <w:rPr>
          <w:rFonts w:ascii="Times New Roman" w:hAnsi="Times New Roman"/>
          <w:b/>
          <w:sz w:val="24"/>
          <w:szCs w:val="24"/>
        </w:rPr>
        <w:t>3</w:t>
      </w:r>
      <w:proofErr w:type="gramEnd"/>
      <w:r w:rsidRPr="00797B8F">
        <w:rPr>
          <w:rFonts w:ascii="Times New Roman" w:hAnsi="Times New Roman"/>
          <w:b/>
          <w:sz w:val="24"/>
          <w:szCs w:val="24"/>
        </w:rPr>
        <w:t xml:space="preserve"> E 4º DA LEI N. 4.118/2002, REVOGA O ART. 5º DA LEI N. 2.366/89.</w:t>
      </w:r>
    </w:p>
    <w:p w:rsidR="00797B8F" w:rsidRPr="00797B8F" w:rsidRDefault="0059584B" w:rsidP="00797B8F">
      <w:pPr>
        <w:spacing w:line="280" w:lineRule="auto"/>
        <w:ind w:left="3118"/>
        <w:rPr>
          <w:rFonts w:ascii="Times New Roman" w:hAnsi="Times New Roman"/>
          <w:b/>
          <w:color w:val="000000"/>
          <w:sz w:val="24"/>
          <w:szCs w:val="24"/>
        </w:rPr>
      </w:pPr>
      <w:r>
        <w:rPr>
          <w:rFonts w:ascii="Times New Roman" w:hAnsi="Times New Roman"/>
          <w:b/>
          <w:color w:val="000000"/>
          <w:sz w:val="24"/>
          <w:szCs w:val="24"/>
        </w:rPr>
        <w:t>Autor: Poder Executivo</w:t>
      </w:r>
    </w:p>
    <w:p w:rsidR="00797B8F" w:rsidRPr="00797B8F" w:rsidRDefault="00797B8F" w:rsidP="00797B8F">
      <w:pPr>
        <w:spacing w:line="360" w:lineRule="auto"/>
        <w:ind w:firstLine="3118"/>
        <w:jc w:val="both"/>
        <w:rPr>
          <w:rFonts w:ascii="Times New Roman" w:hAnsi="Times New Roman"/>
          <w:sz w:val="24"/>
          <w:szCs w:val="24"/>
        </w:rPr>
      </w:pPr>
      <w:r w:rsidRPr="00797B8F">
        <w:rPr>
          <w:rFonts w:ascii="Times New Roman" w:hAnsi="Times New Roman"/>
          <w:sz w:val="24"/>
          <w:szCs w:val="24"/>
        </w:rPr>
        <w:t>A Câmara Municipal de Pouso Alegre, Estado de Minas Gerais, aprova e o Chefe do Poder Executivo sanciona e promulga a seguinte Lei:</w:t>
      </w:r>
    </w:p>
    <w:p w:rsidR="00797B8F" w:rsidRPr="00797B8F" w:rsidRDefault="00797B8F" w:rsidP="00797B8F">
      <w:pPr>
        <w:ind w:firstLine="3118"/>
        <w:jc w:val="both"/>
        <w:rPr>
          <w:rFonts w:ascii="Times New Roman" w:hAnsi="Times New Roman"/>
          <w:b/>
          <w:sz w:val="24"/>
          <w:szCs w:val="24"/>
        </w:rPr>
      </w:pPr>
      <w:r w:rsidRPr="00797B8F">
        <w:rPr>
          <w:rFonts w:ascii="Times New Roman" w:hAnsi="Times New Roman"/>
          <w:b/>
          <w:bCs/>
          <w:sz w:val="24"/>
          <w:szCs w:val="24"/>
        </w:rPr>
        <w:t>Art. 1</w:t>
      </w:r>
      <w:r w:rsidRPr="00797B8F">
        <w:rPr>
          <w:rFonts w:ascii="Times New Roman" w:hAnsi="Times New Roman"/>
          <w:b/>
          <w:bCs/>
          <w:sz w:val="24"/>
          <w:szCs w:val="24"/>
          <w:vertAlign w:val="superscript"/>
        </w:rPr>
        <w:t>o</w:t>
      </w:r>
      <w:r w:rsidRPr="00797B8F">
        <w:rPr>
          <w:rFonts w:ascii="Times New Roman" w:hAnsi="Times New Roman"/>
          <w:b/>
          <w:bCs/>
          <w:sz w:val="24"/>
          <w:szCs w:val="24"/>
        </w:rPr>
        <w:t xml:space="preserve"> </w:t>
      </w:r>
      <w:bookmarkStart w:id="0" w:name="OLE_LINK1"/>
      <w:bookmarkStart w:id="1" w:name="OLE_LINK2"/>
      <w:r w:rsidRPr="00797B8F">
        <w:rPr>
          <w:rFonts w:ascii="Times New Roman" w:hAnsi="Times New Roman"/>
          <w:sz w:val="24"/>
          <w:szCs w:val="24"/>
        </w:rPr>
        <w:t xml:space="preserve">- A alínea </w:t>
      </w:r>
      <w:r w:rsidRPr="00797B8F">
        <w:rPr>
          <w:rFonts w:ascii="Times New Roman" w:hAnsi="Times New Roman"/>
          <w:i/>
          <w:sz w:val="24"/>
          <w:szCs w:val="24"/>
        </w:rPr>
        <w:t>d,</w:t>
      </w:r>
      <w:r w:rsidRPr="00797B8F">
        <w:rPr>
          <w:rFonts w:ascii="Times New Roman" w:hAnsi="Times New Roman"/>
          <w:sz w:val="24"/>
          <w:szCs w:val="24"/>
        </w:rPr>
        <w:t xml:space="preserve"> de que trata o </w:t>
      </w:r>
      <w:r w:rsidRPr="00797B8F">
        <w:rPr>
          <w:rFonts w:ascii="Times New Roman" w:hAnsi="Times New Roman"/>
          <w:i/>
          <w:sz w:val="24"/>
          <w:szCs w:val="24"/>
        </w:rPr>
        <w:t>caput</w:t>
      </w:r>
      <w:r w:rsidRPr="00797B8F">
        <w:rPr>
          <w:rFonts w:ascii="Times New Roman" w:hAnsi="Times New Roman"/>
          <w:sz w:val="24"/>
          <w:szCs w:val="24"/>
        </w:rPr>
        <w:t xml:space="preserve"> do artigo 184, art. 236, 237, 238, 240 da Lei 1086/1971, de 09/11/1971, (Código Tributário Municipal), os artigos 1º, 2º, 3º e 4º, da Lei n. 4.118/2002, passam a vigorar com a seguinte redação:</w:t>
      </w:r>
    </w:p>
    <w:p w:rsidR="00797B8F" w:rsidRPr="00797B8F" w:rsidRDefault="00797B8F" w:rsidP="00797B8F">
      <w:pPr>
        <w:ind w:firstLine="3118"/>
        <w:jc w:val="both"/>
        <w:rPr>
          <w:rFonts w:ascii="Times New Roman" w:hAnsi="Times New Roman"/>
          <w:b/>
          <w:i/>
          <w:sz w:val="24"/>
          <w:szCs w:val="24"/>
        </w:rPr>
      </w:pPr>
      <w:r w:rsidRPr="00797B8F">
        <w:rPr>
          <w:rFonts w:ascii="Times New Roman" w:hAnsi="Times New Roman"/>
          <w:b/>
          <w:i/>
          <w:sz w:val="24"/>
          <w:szCs w:val="24"/>
        </w:rPr>
        <w:t>“Art. 184.</w:t>
      </w:r>
      <w:proofErr w:type="gramStart"/>
      <w:r w:rsidRPr="00797B8F">
        <w:rPr>
          <w:rFonts w:ascii="Times New Roman" w:hAnsi="Times New Roman"/>
          <w:b/>
          <w:i/>
          <w:sz w:val="24"/>
          <w:szCs w:val="24"/>
        </w:rPr>
        <w:t xml:space="preserve">  ...</w:t>
      </w:r>
      <w:bookmarkEnd w:id="0"/>
      <w:bookmarkEnd w:id="1"/>
      <w:proofErr w:type="gramEnd"/>
    </w:p>
    <w:p w:rsidR="00797B8F" w:rsidRPr="00797B8F" w:rsidRDefault="00797B8F" w:rsidP="00797B8F">
      <w:pPr>
        <w:ind w:firstLine="3118"/>
        <w:jc w:val="both"/>
        <w:rPr>
          <w:rFonts w:ascii="Times New Roman" w:hAnsi="Times New Roman"/>
          <w:b/>
          <w:i/>
          <w:sz w:val="24"/>
          <w:szCs w:val="24"/>
        </w:rPr>
      </w:pPr>
      <w:r w:rsidRPr="00797B8F">
        <w:rPr>
          <w:rFonts w:ascii="Times New Roman" w:hAnsi="Times New Roman"/>
          <w:b/>
          <w:i/>
          <w:sz w:val="24"/>
          <w:szCs w:val="24"/>
        </w:rPr>
        <w:t xml:space="preserve">d – </w:t>
      </w:r>
      <w:proofErr w:type="gramStart"/>
      <w:r w:rsidRPr="00797B8F">
        <w:rPr>
          <w:rFonts w:ascii="Times New Roman" w:hAnsi="Times New Roman"/>
          <w:b/>
          <w:i/>
          <w:sz w:val="24"/>
          <w:szCs w:val="24"/>
        </w:rPr>
        <w:t>Taxa</w:t>
      </w:r>
      <w:proofErr w:type="gramEnd"/>
      <w:r w:rsidRPr="00797B8F">
        <w:rPr>
          <w:rFonts w:ascii="Times New Roman" w:hAnsi="Times New Roman"/>
          <w:b/>
          <w:i/>
          <w:sz w:val="24"/>
          <w:szCs w:val="24"/>
        </w:rPr>
        <w:t xml:space="preserve"> de Coleta, Remoção e Destinação de Resíduos Sólidos.</w:t>
      </w:r>
    </w:p>
    <w:p w:rsidR="00797B8F" w:rsidRPr="00797B8F" w:rsidRDefault="00797B8F" w:rsidP="00797B8F">
      <w:pPr>
        <w:ind w:firstLine="3118"/>
        <w:jc w:val="both"/>
        <w:rPr>
          <w:rFonts w:ascii="Times New Roman" w:hAnsi="Times New Roman"/>
          <w:b/>
          <w:i/>
          <w:sz w:val="24"/>
          <w:szCs w:val="24"/>
        </w:rPr>
      </w:pPr>
      <w:r w:rsidRPr="00797B8F">
        <w:rPr>
          <w:rFonts w:ascii="Times New Roman" w:hAnsi="Times New Roman"/>
          <w:b/>
          <w:i/>
          <w:sz w:val="24"/>
          <w:szCs w:val="24"/>
        </w:rPr>
        <w:t>Art. 236.  A Taxa de Coleta, Remoção e Destinação Final de Resíduos Sólidos ou Taxa de Coleta de Lixo regular, que trata a alínea d, do art. 184, tem como fato gerador a disponibilidade ou a prestação dos serviços regulares de coleta, remoção, transporte e destinação final de Resíduos Sólidos, de origem em produção domiciliar, de estabelecimentos industriais, comerciais e de prestação de serviços, executados diretamente pelo poder público municipal ou mediante concessão.</w:t>
      </w:r>
    </w:p>
    <w:p w:rsidR="00797B8F" w:rsidRPr="00797B8F" w:rsidRDefault="00797B8F" w:rsidP="00797B8F">
      <w:pPr>
        <w:ind w:firstLine="3118"/>
        <w:jc w:val="both"/>
        <w:rPr>
          <w:rFonts w:ascii="Times New Roman" w:hAnsi="Times New Roman"/>
          <w:b/>
          <w:i/>
          <w:sz w:val="24"/>
          <w:szCs w:val="24"/>
        </w:rPr>
      </w:pPr>
      <w:r w:rsidRPr="00797B8F">
        <w:rPr>
          <w:rFonts w:ascii="Times New Roman" w:hAnsi="Times New Roman"/>
          <w:b/>
          <w:i/>
          <w:sz w:val="24"/>
          <w:szCs w:val="24"/>
        </w:rPr>
        <w:t>§ 1º. Os serviços de remoção de resíduos especiais são aqueles que exijam cuidados especiais seja no manuseio, na coleta, remoção ou na destinação final, como galhos de árvores, retirada de entulhos, insalubres ou com normas sanitárias específicas, e outros quaisquer resíduos, que exijam forma ou destinação final especial, bem como, aqueles que os resíduos excedam os limites máximos de produção de 200 kg (duzentos quilogramas) ou 300 (trezentos) litros diários, ora fixados como limites para a coleta regular.</w:t>
      </w:r>
    </w:p>
    <w:p w:rsidR="00797B8F" w:rsidRPr="00797B8F" w:rsidRDefault="00797B8F" w:rsidP="00797B8F">
      <w:pPr>
        <w:ind w:firstLine="3118"/>
        <w:jc w:val="both"/>
        <w:rPr>
          <w:rFonts w:ascii="Times New Roman" w:hAnsi="Times New Roman"/>
          <w:b/>
          <w:i/>
          <w:sz w:val="24"/>
          <w:szCs w:val="24"/>
        </w:rPr>
      </w:pPr>
      <w:r w:rsidRPr="00797B8F">
        <w:rPr>
          <w:rFonts w:ascii="Times New Roman" w:hAnsi="Times New Roman"/>
          <w:b/>
          <w:i/>
          <w:sz w:val="24"/>
          <w:szCs w:val="24"/>
        </w:rPr>
        <w:t xml:space="preserve">§ 2º - Os imóveis ou estabelecimentos com produção que não se enquadre na coleta regular, como tratado no parágrafo anterior, ficarão </w:t>
      </w:r>
      <w:r w:rsidRPr="00797B8F">
        <w:rPr>
          <w:rFonts w:ascii="Times New Roman" w:hAnsi="Times New Roman"/>
          <w:b/>
          <w:i/>
          <w:sz w:val="24"/>
          <w:szCs w:val="24"/>
        </w:rPr>
        <w:lastRenderedPageBreak/>
        <w:t>sujeitos ao regime de coleta ou de destinação especial, e incidirá para os serviços prestados o respectivo preço público ou tarifa, estabelecido conforme regulamentação própria, cuja remoção e destinação final, poderão ser executadas pelo poder público ou mediante concessão.</w:t>
      </w:r>
    </w:p>
    <w:p w:rsidR="00797B8F" w:rsidRPr="00797B8F" w:rsidRDefault="00797B8F" w:rsidP="00797B8F">
      <w:pPr>
        <w:ind w:firstLine="3118"/>
        <w:jc w:val="both"/>
        <w:rPr>
          <w:rFonts w:ascii="Times New Roman" w:hAnsi="Times New Roman"/>
          <w:b/>
          <w:i/>
          <w:sz w:val="24"/>
          <w:szCs w:val="24"/>
        </w:rPr>
      </w:pPr>
      <w:r w:rsidRPr="00797B8F">
        <w:rPr>
          <w:rFonts w:ascii="Times New Roman" w:hAnsi="Times New Roman"/>
          <w:b/>
          <w:i/>
          <w:sz w:val="24"/>
          <w:szCs w:val="24"/>
        </w:rPr>
        <w:t>Art. 237.  A Taxa de Coleta, Remoção e Destinação Final de Resíduos Sólidos ou Taxa de Coleta de Lixo regular, objetiva prover o custeio dos serviços e, para os fins de rateio deverá observar os valores mínimo e máximo ora estabelecido, e será lançada em função da ocupação ou tipo, e da utilização do imóvel, da área construída quando edificados, ou das testadas dos imóveis quando não edificados, fixada em reais e convertidos em quantidades de UFM - Unidade Fiscal do Município de Pouso Alegre, para que com esta seja atualizado e mantido o valor monetário e, sendo lançada da seguinte forma:</w:t>
      </w:r>
    </w:p>
    <w:p w:rsidR="00797B8F" w:rsidRPr="00797B8F" w:rsidRDefault="00797B8F" w:rsidP="00797B8F">
      <w:pPr>
        <w:ind w:firstLine="3118"/>
        <w:jc w:val="both"/>
        <w:rPr>
          <w:rFonts w:ascii="Times New Roman" w:hAnsi="Times New Roman"/>
          <w:b/>
          <w:i/>
          <w:sz w:val="24"/>
          <w:szCs w:val="24"/>
        </w:rPr>
      </w:pPr>
      <w:r w:rsidRPr="00797B8F">
        <w:rPr>
          <w:rFonts w:ascii="Times New Roman" w:hAnsi="Times New Roman"/>
          <w:b/>
          <w:i/>
          <w:sz w:val="24"/>
          <w:szCs w:val="24"/>
        </w:rPr>
        <w:t>I – para imóveis não edificados, mediante a aplicação da alíquota de 1.88 UFM por metro linear de testada;</w:t>
      </w:r>
    </w:p>
    <w:p w:rsidR="00797B8F" w:rsidRPr="00797B8F" w:rsidRDefault="00797B8F" w:rsidP="00797B8F">
      <w:pPr>
        <w:ind w:firstLine="3118"/>
        <w:jc w:val="both"/>
        <w:rPr>
          <w:rFonts w:ascii="Times New Roman" w:hAnsi="Times New Roman"/>
          <w:b/>
          <w:i/>
          <w:sz w:val="24"/>
          <w:szCs w:val="24"/>
        </w:rPr>
      </w:pPr>
      <w:r w:rsidRPr="00797B8F">
        <w:rPr>
          <w:rFonts w:ascii="Times New Roman" w:hAnsi="Times New Roman"/>
          <w:b/>
          <w:i/>
          <w:sz w:val="24"/>
          <w:szCs w:val="24"/>
        </w:rPr>
        <w:t>II – para imóveis edificados, pela aplicação de alíquotas sobre a UFM, por metro quadrado de edificação presente em cada unidade imobiliária independente, e em função da utilização do imóvel, sendo as seguintes alíquotas por metro quadrado da construção:</w:t>
      </w:r>
    </w:p>
    <w:p w:rsidR="00797B8F" w:rsidRPr="00797B8F" w:rsidRDefault="00797B8F" w:rsidP="00797B8F">
      <w:pPr>
        <w:numPr>
          <w:ilvl w:val="0"/>
          <w:numId w:val="1"/>
        </w:numPr>
        <w:tabs>
          <w:tab w:val="left" w:pos="0"/>
          <w:tab w:val="left" w:pos="284"/>
        </w:tabs>
        <w:suppressAutoHyphens/>
        <w:spacing w:after="0" w:line="240" w:lineRule="auto"/>
        <w:ind w:left="0" w:firstLine="3118"/>
        <w:jc w:val="both"/>
        <w:rPr>
          <w:rFonts w:ascii="Times New Roman" w:hAnsi="Times New Roman"/>
          <w:b/>
          <w:i/>
          <w:sz w:val="24"/>
          <w:szCs w:val="24"/>
        </w:rPr>
      </w:pPr>
      <w:r w:rsidRPr="00797B8F">
        <w:rPr>
          <w:rFonts w:ascii="Times New Roman" w:hAnsi="Times New Roman"/>
          <w:b/>
          <w:i/>
          <w:sz w:val="24"/>
          <w:szCs w:val="24"/>
        </w:rPr>
        <w:t>Residencial – 0.23 UFM x m2 edificação;</w:t>
      </w:r>
    </w:p>
    <w:p w:rsidR="00797B8F" w:rsidRPr="00797B8F" w:rsidRDefault="00797B8F" w:rsidP="00797B8F">
      <w:pPr>
        <w:numPr>
          <w:ilvl w:val="0"/>
          <w:numId w:val="1"/>
        </w:numPr>
        <w:tabs>
          <w:tab w:val="left" w:pos="0"/>
          <w:tab w:val="left" w:pos="284"/>
        </w:tabs>
        <w:suppressAutoHyphens/>
        <w:spacing w:after="0" w:line="240" w:lineRule="auto"/>
        <w:ind w:left="0" w:firstLine="3118"/>
        <w:jc w:val="both"/>
        <w:rPr>
          <w:rFonts w:ascii="Times New Roman" w:hAnsi="Times New Roman"/>
          <w:b/>
          <w:i/>
          <w:sz w:val="24"/>
          <w:szCs w:val="24"/>
        </w:rPr>
      </w:pPr>
      <w:r w:rsidRPr="00797B8F">
        <w:rPr>
          <w:rFonts w:ascii="Times New Roman" w:hAnsi="Times New Roman"/>
          <w:b/>
          <w:i/>
          <w:sz w:val="24"/>
          <w:szCs w:val="24"/>
        </w:rPr>
        <w:t>Industrial – 0.89 UFM x m2 edificação;</w:t>
      </w:r>
    </w:p>
    <w:p w:rsidR="00797B8F" w:rsidRPr="00797B8F" w:rsidRDefault="00797B8F" w:rsidP="00797B8F">
      <w:pPr>
        <w:numPr>
          <w:ilvl w:val="0"/>
          <w:numId w:val="1"/>
        </w:numPr>
        <w:tabs>
          <w:tab w:val="left" w:pos="0"/>
          <w:tab w:val="left" w:pos="284"/>
        </w:tabs>
        <w:suppressAutoHyphens/>
        <w:spacing w:after="0" w:line="240" w:lineRule="auto"/>
        <w:ind w:left="0" w:firstLine="3118"/>
        <w:jc w:val="both"/>
        <w:rPr>
          <w:rFonts w:ascii="Times New Roman" w:hAnsi="Times New Roman"/>
          <w:b/>
          <w:i/>
          <w:sz w:val="24"/>
          <w:szCs w:val="24"/>
        </w:rPr>
      </w:pPr>
      <w:r w:rsidRPr="00797B8F">
        <w:rPr>
          <w:rFonts w:ascii="Times New Roman" w:hAnsi="Times New Roman"/>
          <w:b/>
          <w:i/>
          <w:sz w:val="24"/>
          <w:szCs w:val="24"/>
        </w:rPr>
        <w:t>Comercial – 0.45 UFM x m2 edificação;</w:t>
      </w:r>
    </w:p>
    <w:p w:rsidR="00797B8F" w:rsidRPr="00797B8F" w:rsidRDefault="00797B8F" w:rsidP="00797B8F">
      <w:pPr>
        <w:numPr>
          <w:ilvl w:val="0"/>
          <w:numId w:val="1"/>
        </w:numPr>
        <w:tabs>
          <w:tab w:val="left" w:pos="0"/>
          <w:tab w:val="left" w:pos="284"/>
        </w:tabs>
        <w:suppressAutoHyphens/>
        <w:spacing w:after="0" w:line="240" w:lineRule="auto"/>
        <w:ind w:left="0" w:firstLine="3118"/>
        <w:jc w:val="both"/>
        <w:rPr>
          <w:rFonts w:ascii="Times New Roman" w:hAnsi="Times New Roman"/>
          <w:b/>
          <w:i/>
          <w:sz w:val="24"/>
          <w:szCs w:val="24"/>
        </w:rPr>
      </w:pPr>
      <w:r w:rsidRPr="00797B8F">
        <w:rPr>
          <w:rFonts w:ascii="Times New Roman" w:hAnsi="Times New Roman"/>
          <w:b/>
          <w:i/>
          <w:sz w:val="24"/>
          <w:szCs w:val="24"/>
        </w:rPr>
        <w:t>Escolar – 0.34 UFM x m2 edificação;</w:t>
      </w:r>
    </w:p>
    <w:p w:rsidR="00797B8F" w:rsidRPr="00797B8F" w:rsidRDefault="00797B8F" w:rsidP="00797B8F">
      <w:pPr>
        <w:numPr>
          <w:ilvl w:val="0"/>
          <w:numId w:val="1"/>
        </w:numPr>
        <w:tabs>
          <w:tab w:val="left" w:pos="0"/>
          <w:tab w:val="left" w:pos="284"/>
        </w:tabs>
        <w:suppressAutoHyphens/>
        <w:spacing w:after="0" w:line="240" w:lineRule="auto"/>
        <w:ind w:left="0" w:firstLine="3118"/>
        <w:jc w:val="both"/>
        <w:rPr>
          <w:rFonts w:ascii="Times New Roman" w:hAnsi="Times New Roman"/>
          <w:b/>
          <w:i/>
          <w:sz w:val="24"/>
          <w:szCs w:val="24"/>
        </w:rPr>
      </w:pPr>
      <w:r w:rsidRPr="00797B8F">
        <w:rPr>
          <w:rFonts w:ascii="Times New Roman" w:hAnsi="Times New Roman"/>
          <w:b/>
          <w:i/>
          <w:sz w:val="24"/>
          <w:szCs w:val="24"/>
        </w:rPr>
        <w:t>Outros Serviços – 0.29 UFM x m2 edificação;</w:t>
      </w:r>
    </w:p>
    <w:p w:rsidR="00797B8F" w:rsidRPr="00797B8F" w:rsidRDefault="00797B8F" w:rsidP="00797B8F">
      <w:pPr>
        <w:numPr>
          <w:ilvl w:val="0"/>
          <w:numId w:val="1"/>
        </w:numPr>
        <w:tabs>
          <w:tab w:val="left" w:pos="0"/>
          <w:tab w:val="left" w:pos="284"/>
        </w:tabs>
        <w:suppressAutoHyphens/>
        <w:spacing w:after="0" w:line="240" w:lineRule="auto"/>
        <w:ind w:left="0" w:firstLine="3118"/>
        <w:jc w:val="both"/>
        <w:rPr>
          <w:rFonts w:ascii="Times New Roman" w:hAnsi="Times New Roman"/>
          <w:b/>
          <w:i/>
          <w:sz w:val="24"/>
          <w:szCs w:val="24"/>
        </w:rPr>
      </w:pPr>
      <w:proofErr w:type="gramStart"/>
      <w:r w:rsidRPr="00797B8F">
        <w:rPr>
          <w:rFonts w:ascii="Times New Roman" w:hAnsi="Times New Roman"/>
          <w:b/>
          <w:i/>
          <w:sz w:val="24"/>
          <w:szCs w:val="24"/>
        </w:rPr>
        <w:t>Fe(</w:t>
      </w:r>
      <w:proofErr w:type="gramEnd"/>
      <w:r w:rsidRPr="00797B8F">
        <w:rPr>
          <w:rFonts w:ascii="Times New Roman" w:hAnsi="Times New Roman"/>
          <w:b/>
          <w:i/>
          <w:sz w:val="24"/>
          <w:szCs w:val="24"/>
        </w:rPr>
        <w:t>a)</w:t>
      </w:r>
      <w:proofErr w:type="spellStart"/>
      <w:r w:rsidRPr="00797B8F">
        <w:rPr>
          <w:rFonts w:ascii="Times New Roman" w:hAnsi="Times New Roman"/>
          <w:b/>
          <w:i/>
          <w:sz w:val="24"/>
          <w:szCs w:val="24"/>
        </w:rPr>
        <w:t>chada</w:t>
      </w:r>
      <w:proofErr w:type="spellEnd"/>
      <w:r w:rsidRPr="00797B8F">
        <w:rPr>
          <w:rFonts w:ascii="Times New Roman" w:hAnsi="Times New Roman"/>
          <w:b/>
          <w:i/>
          <w:sz w:val="24"/>
          <w:szCs w:val="24"/>
        </w:rPr>
        <w:t xml:space="preserve"> – 0.23 UFM x m2 edificação;</w:t>
      </w:r>
    </w:p>
    <w:p w:rsidR="00797B8F" w:rsidRPr="00797B8F" w:rsidRDefault="00797B8F" w:rsidP="00797B8F">
      <w:pPr>
        <w:numPr>
          <w:ilvl w:val="0"/>
          <w:numId w:val="1"/>
        </w:numPr>
        <w:tabs>
          <w:tab w:val="left" w:pos="0"/>
          <w:tab w:val="left" w:pos="284"/>
        </w:tabs>
        <w:suppressAutoHyphens/>
        <w:spacing w:after="0" w:line="240" w:lineRule="auto"/>
        <w:ind w:left="0" w:firstLine="3118"/>
        <w:jc w:val="both"/>
        <w:rPr>
          <w:rFonts w:ascii="Times New Roman" w:hAnsi="Times New Roman"/>
          <w:b/>
          <w:i/>
          <w:sz w:val="24"/>
          <w:szCs w:val="24"/>
        </w:rPr>
      </w:pPr>
      <w:r w:rsidRPr="00797B8F">
        <w:rPr>
          <w:rFonts w:ascii="Times New Roman" w:hAnsi="Times New Roman"/>
          <w:b/>
          <w:i/>
          <w:sz w:val="24"/>
          <w:szCs w:val="24"/>
        </w:rPr>
        <w:t xml:space="preserve">Hotéis – 0.34 UFM x m2 edificação. </w:t>
      </w:r>
    </w:p>
    <w:p w:rsidR="00797B8F" w:rsidRPr="00797B8F" w:rsidRDefault="00797B8F" w:rsidP="00797B8F">
      <w:pPr>
        <w:ind w:left="1416" w:firstLine="3118"/>
        <w:jc w:val="both"/>
        <w:rPr>
          <w:rFonts w:ascii="Times New Roman" w:hAnsi="Times New Roman"/>
          <w:b/>
          <w:i/>
          <w:sz w:val="24"/>
          <w:szCs w:val="24"/>
        </w:rPr>
      </w:pPr>
    </w:p>
    <w:p w:rsidR="00797B8F" w:rsidRPr="00797B8F" w:rsidRDefault="00797B8F" w:rsidP="00797B8F">
      <w:pPr>
        <w:ind w:firstLine="3118"/>
        <w:jc w:val="both"/>
        <w:rPr>
          <w:rFonts w:ascii="Times New Roman" w:hAnsi="Times New Roman"/>
          <w:b/>
          <w:i/>
          <w:sz w:val="24"/>
          <w:szCs w:val="24"/>
        </w:rPr>
      </w:pPr>
      <w:r w:rsidRPr="00797B8F">
        <w:rPr>
          <w:rFonts w:ascii="Times New Roman" w:hAnsi="Times New Roman"/>
          <w:b/>
          <w:i/>
          <w:sz w:val="24"/>
          <w:szCs w:val="24"/>
        </w:rPr>
        <w:t>§ 1º. Para os imóveis cuja produção se enquadre no disposto dos §§ 1º e 2º, do artigo 236, da Lei 1086/1971, de 09/11/1971, ato normativo próprio deverá estabelecer os valores dos preços públicos ou tarifas, devendo assim incidir a cobrança da referida taxa para os serviços regulares e a tarifa ou preço público para os serviços especiais de coleta, remoção ou destinação final e, aplicadas as normas próprias.</w:t>
      </w:r>
    </w:p>
    <w:p w:rsidR="00797B8F" w:rsidRPr="00797B8F" w:rsidRDefault="00797B8F" w:rsidP="00797B8F">
      <w:pPr>
        <w:ind w:firstLine="3118"/>
        <w:jc w:val="both"/>
        <w:rPr>
          <w:rFonts w:ascii="Times New Roman" w:hAnsi="Times New Roman"/>
          <w:b/>
          <w:i/>
          <w:sz w:val="24"/>
          <w:szCs w:val="24"/>
        </w:rPr>
      </w:pPr>
      <w:bookmarkStart w:id="2" w:name="OLE_LINK3"/>
      <w:bookmarkStart w:id="3" w:name="OLE_LINK4"/>
      <w:r w:rsidRPr="00797B8F">
        <w:rPr>
          <w:rFonts w:ascii="Times New Roman" w:hAnsi="Times New Roman"/>
          <w:b/>
          <w:i/>
          <w:sz w:val="24"/>
          <w:szCs w:val="24"/>
        </w:rPr>
        <w:t xml:space="preserve">§ 2º. </w:t>
      </w:r>
      <w:bookmarkEnd w:id="2"/>
      <w:bookmarkEnd w:id="3"/>
      <w:r w:rsidRPr="00797B8F">
        <w:rPr>
          <w:rFonts w:ascii="Times New Roman" w:hAnsi="Times New Roman"/>
          <w:b/>
          <w:i/>
          <w:sz w:val="24"/>
          <w:szCs w:val="24"/>
        </w:rPr>
        <w:t>A Taxa que trata o presente artigo poderá ser lançada conjuntamente com o lançamento de outros créditos municipais, inclusive com o IPTU, e ainda, isoladamente ou com Taxas ou Tarifas praticadas e arrecadadas por terceiros, mediante contrato ou convênio próprio.</w:t>
      </w:r>
    </w:p>
    <w:p w:rsidR="00797B8F" w:rsidRPr="00797B8F" w:rsidRDefault="00797B8F" w:rsidP="00797B8F">
      <w:pPr>
        <w:ind w:firstLine="3118"/>
        <w:jc w:val="both"/>
        <w:rPr>
          <w:rFonts w:ascii="Times New Roman" w:hAnsi="Times New Roman"/>
          <w:b/>
          <w:i/>
          <w:sz w:val="24"/>
          <w:szCs w:val="24"/>
        </w:rPr>
      </w:pPr>
      <w:r w:rsidRPr="00797B8F">
        <w:rPr>
          <w:rFonts w:ascii="Times New Roman" w:hAnsi="Times New Roman"/>
          <w:b/>
          <w:i/>
          <w:sz w:val="24"/>
          <w:szCs w:val="24"/>
        </w:rPr>
        <w:lastRenderedPageBreak/>
        <w:t>§ 3º. Mediante a publicação de ato normativo próprio, o executivo municipal poderá regulamentar o lançamento e a constituição dos créditos tributários a que se refere este artigo, inclusive, com a aplicação de fator de ajustamento para toda uma atividade ou fatos geradores equivalentes, não podendo implicar em majoração ao aqui estabelecido, e desde que reduza os valores, para promover a adequação das receitas lançadas aos custos dos serviços, e para os casos manifestadamente injustos, em função da produção ou dos resíduos, e desde que comprovado mediante competente Processo Tributário Administrativo.</w:t>
      </w:r>
    </w:p>
    <w:p w:rsidR="00797B8F" w:rsidRPr="00797B8F" w:rsidRDefault="00797B8F" w:rsidP="00797B8F">
      <w:pPr>
        <w:ind w:firstLine="3118"/>
        <w:jc w:val="both"/>
        <w:rPr>
          <w:rFonts w:ascii="Times New Roman" w:hAnsi="Times New Roman"/>
          <w:b/>
          <w:i/>
          <w:sz w:val="24"/>
          <w:szCs w:val="24"/>
        </w:rPr>
      </w:pPr>
      <w:r w:rsidRPr="00797B8F">
        <w:rPr>
          <w:rFonts w:ascii="Times New Roman" w:hAnsi="Times New Roman"/>
          <w:b/>
          <w:i/>
          <w:sz w:val="24"/>
          <w:szCs w:val="24"/>
        </w:rPr>
        <w:t>§ 4º. A cobrança da taxa que trata o caput deste artigo deverá observar os seguintes limites de valores, apurados mediante a multiplicação da alíquota pelo valor da Unidade Fiscal:</w:t>
      </w:r>
    </w:p>
    <w:p w:rsidR="00797B8F" w:rsidRPr="00797B8F" w:rsidRDefault="00797B8F" w:rsidP="00797B8F">
      <w:pPr>
        <w:numPr>
          <w:ilvl w:val="0"/>
          <w:numId w:val="2"/>
        </w:numPr>
        <w:tabs>
          <w:tab w:val="left" w:pos="284"/>
        </w:tabs>
        <w:suppressAutoHyphens/>
        <w:spacing w:after="0" w:line="240" w:lineRule="auto"/>
        <w:ind w:left="0" w:firstLine="1134"/>
        <w:jc w:val="both"/>
        <w:rPr>
          <w:rFonts w:ascii="Times New Roman" w:hAnsi="Times New Roman"/>
          <w:b/>
          <w:i/>
          <w:sz w:val="24"/>
          <w:szCs w:val="24"/>
        </w:rPr>
      </w:pPr>
      <w:r w:rsidRPr="00797B8F">
        <w:rPr>
          <w:rFonts w:ascii="Times New Roman" w:hAnsi="Times New Roman"/>
          <w:b/>
          <w:i/>
          <w:sz w:val="24"/>
          <w:szCs w:val="24"/>
        </w:rPr>
        <w:t>Residencial – Mínimo 22.23 x UFM e Máximo 44.46 x UFM;</w:t>
      </w:r>
    </w:p>
    <w:p w:rsidR="00797B8F" w:rsidRPr="00797B8F" w:rsidRDefault="00797B8F" w:rsidP="00797B8F">
      <w:pPr>
        <w:numPr>
          <w:ilvl w:val="0"/>
          <w:numId w:val="2"/>
        </w:numPr>
        <w:tabs>
          <w:tab w:val="left" w:pos="284"/>
        </w:tabs>
        <w:suppressAutoHyphens/>
        <w:spacing w:after="0" w:line="240" w:lineRule="auto"/>
        <w:ind w:left="0" w:firstLine="1134"/>
        <w:jc w:val="both"/>
        <w:rPr>
          <w:rFonts w:ascii="Times New Roman" w:hAnsi="Times New Roman"/>
          <w:b/>
          <w:i/>
          <w:sz w:val="24"/>
          <w:szCs w:val="24"/>
        </w:rPr>
      </w:pPr>
      <w:r w:rsidRPr="00797B8F">
        <w:rPr>
          <w:rFonts w:ascii="Times New Roman" w:hAnsi="Times New Roman"/>
          <w:b/>
          <w:i/>
          <w:sz w:val="24"/>
          <w:szCs w:val="24"/>
        </w:rPr>
        <w:t>Industrial – Mínimo 22.23 x UFM e Máximo 177.83 x UFM;</w:t>
      </w:r>
    </w:p>
    <w:p w:rsidR="00797B8F" w:rsidRPr="00797B8F" w:rsidRDefault="00797B8F" w:rsidP="00797B8F">
      <w:pPr>
        <w:numPr>
          <w:ilvl w:val="0"/>
          <w:numId w:val="2"/>
        </w:numPr>
        <w:tabs>
          <w:tab w:val="left" w:pos="284"/>
        </w:tabs>
        <w:suppressAutoHyphens/>
        <w:spacing w:after="0" w:line="240" w:lineRule="auto"/>
        <w:ind w:left="0" w:firstLine="1134"/>
        <w:jc w:val="both"/>
        <w:rPr>
          <w:rFonts w:ascii="Times New Roman" w:hAnsi="Times New Roman"/>
          <w:b/>
          <w:i/>
          <w:sz w:val="24"/>
          <w:szCs w:val="24"/>
        </w:rPr>
      </w:pPr>
      <w:r w:rsidRPr="00797B8F">
        <w:rPr>
          <w:rFonts w:ascii="Times New Roman" w:hAnsi="Times New Roman"/>
          <w:b/>
          <w:i/>
          <w:sz w:val="24"/>
          <w:szCs w:val="24"/>
        </w:rPr>
        <w:t>Comercial – Mínimo 22.23 x UFM e Máximo 88.92 x UFM;</w:t>
      </w:r>
    </w:p>
    <w:p w:rsidR="00797B8F" w:rsidRPr="00797B8F" w:rsidRDefault="00797B8F" w:rsidP="00797B8F">
      <w:pPr>
        <w:numPr>
          <w:ilvl w:val="0"/>
          <w:numId w:val="2"/>
        </w:numPr>
        <w:tabs>
          <w:tab w:val="left" w:pos="284"/>
        </w:tabs>
        <w:suppressAutoHyphens/>
        <w:spacing w:after="0" w:line="240" w:lineRule="auto"/>
        <w:ind w:left="0" w:firstLine="1134"/>
        <w:jc w:val="both"/>
        <w:rPr>
          <w:rFonts w:ascii="Times New Roman" w:hAnsi="Times New Roman"/>
          <w:b/>
          <w:i/>
          <w:sz w:val="24"/>
          <w:szCs w:val="24"/>
        </w:rPr>
      </w:pPr>
      <w:r w:rsidRPr="00797B8F">
        <w:rPr>
          <w:rFonts w:ascii="Times New Roman" w:hAnsi="Times New Roman"/>
          <w:b/>
          <w:i/>
          <w:sz w:val="24"/>
          <w:szCs w:val="24"/>
        </w:rPr>
        <w:t>Escolar</w:t>
      </w:r>
      <w:proofErr w:type="gramStart"/>
      <w:r w:rsidRPr="00797B8F">
        <w:rPr>
          <w:rFonts w:ascii="Times New Roman" w:hAnsi="Times New Roman"/>
          <w:b/>
          <w:i/>
          <w:sz w:val="24"/>
          <w:szCs w:val="24"/>
        </w:rPr>
        <w:t xml:space="preserve">  </w:t>
      </w:r>
      <w:proofErr w:type="gramEnd"/>
      <w:r w:rsidRPr="00797B8F">
        <w:rPr>
          <w:rFonts w:ascii="Times New Roman" w:hAnsi="Times New Roman"/>
          <w:b/>
          <w:i/>
          <w:sz w:val="24"/>
          <w:szCs w:val="24"/>
        </w:rPr>
        <w:t>– Mínimo 22.23 x UFM e Máximo 66.68 x UFM;</w:t>
      </w:r>
    </w:p>
    <w:p w:rsidR="00797B8F" w:rsidRPr="00797B8F" w:rsidRDefault="00797B8F" w:rsidP="00797B8F">
      <w:pPr>
        <w:numPr>
          <w:ilvl w:val="0"/>
          <w:numId w:val="2"/>
        </w:numPr>
        <w:tabs>
          <w:tab w:val="left" w:pos="284"/>
        </w:tabs>
        <w:suppressAutoHyphens/>
        <w:spacing w:after="0" w:line="240" w:lineRule="auto"/>
        <w:ind w:left="0" w:firstLine="1134"/>
        <w:jc w:val="both"/>
        <w:rPr>
          <w:rFonts w:ascii="Times New Roman" w:hAnsi="Times New Roman"/>
          <w:b/>
          <w:i/>
          <w:sz w:val="24"/>
          <w:szCs w:val="24"/>
        </w:rPr>
      </w:pPr>
      <w:r w:rsidRPr="00797B8F">
        <w:rPr>
          <w:rFonts w:ascii="Times New Roman" w:hAnsi="Times New Roman"/>
          <w:b/>
          <w:i/>
          <w:sz w:val="24"/>
          <w:szCs w:val="24"/>
        </w:rPr>
        <w:t>Outros Serviços – Mínimo 22.23 x UFM e Máximo 57.8 x UFM;</w:t>
      </w:r>
    </w:p>
    <w:p w:rsidR="00797B8F" w:rsidRPr="00797B8F" w:rsidRDefault="00797B8F" w:rsidP="00797B8F">
      <w:pPr>
        <w:numPr>
          <w:ilvl w:val="0"/>
          <w:numId w:val="2"/>
        </w:numPr>
        <w:tabs>
          <w:tab w:val="left" w:pos="284"/>
        </w:tabs>
        <w:suppressAutoHyphens/>
        <w:spacing w:after="0" w:line="240" w:lineRule="auto"/>
        <w:ind w:left="0" w:firstLine="1134"/>
        <w:jc w:val="both"/>
        <w:rPr>
          <w:rFonts w:ascii="Times New Roman" w:hAnsi="Times New Roman"/>
          <w:b/>
          <w:i/>
          <w:sz w:val="24"/>
          <w:szCs w:val="24"/>
        </w:rPr>
      </w:pPr>
      <w:r w:rsidRPr="00797B8F">
        <w:rPr>
          <w:rFonts w:ascii="Times New Roman" w:hAnsi="Times New Roman"/>
          <w:b/>
          <w:i/>
          <w:sz w:val="24"/>
          <w:szCs w:val="24"/>
        </w:rPr>
        <w:t xml:space="preserve"> </w:t>
      </w:r>
      <w:proofErr w:type="gramStart"/>
      <w:r w:rsidRPr="00797B8F">
        <w:rPr>
          <w:rFonts w:ascii="Times New Roman" w:hAnsi="Times New Roman"/>
          <w:b/>
          <w:i/>
          <w:sz w:val="24"/>
          <w:szCs w:val="24"/>
        </w:rPr>
        <w:t>Fe(</w:t>
      </w:r>
      <w:proofErr w:type="gramEnd"/>
      <w:r w:rsidRPr="00797B8F">
        <w:rPr>
          <w:rFonts w:ascii="Times New Roman" w:hAnsi="Times New Roman"/>
          <w:b/>
          <w:i/>
          <w:sz w:val="24"/>
          <w:szCs w:val="24"/>
        </w:rPr>
        <w:t>a)</w:t>
      </w:r>
      <w:proofErr w:type="spellStart"/>
      <w:r w:rsidRPr="00797B8F">
        <w:rPr>
          <w:rFonts w:ascii="Times New Roman" w:hAnsi="Times New Roman"/>
          <w:b/>
          <w:i/>
          <w:sz w:val="24"/>
          <w:szCs w:val="24"/>
        </w:rPr>
        <w:t>chada</w:t>
      </w:r>
      <w:proofErr w:type="spellEnd"/>
      <w:r w:rsidRPr="00797B8F">
        <w:rPr>
          <w:rFonts w:ascii="Times New Roman" w:hAnsi="Times New Roman"/>
          <w:b/>
          <w:i/>
          <w:sz w:val="24"/>
          <w:szCs w:val="24"/>
        </w:rPr>
        <w:t xml:space="preserve"> – Mínimo 22.23 x UFM e Máximo 44.46 x UFM;</w:t>
      </w:r>
    </w:p>
    <w:p w:rsidR="00797B8F" w:rsidRPr="00797B8F" w:rsidRDefault="00797B8F" w:rsidP="00797B8F">
      <w:pPr>
        <w:numPr>
          <w:ilvl w:val="0"/>
          <w:numId w:val="2"/>
        </w:numPr>
        <w:tabs>
          <w:tab w:val="left" w:pos="284"/>
        </w:tabs>
        <w:suppressAutoHyphens/>
        <w:spacing w:after="0" w:line="240" w:lineRule="auto"/>
        <w:ind w:left="0" w:firstLine="1134"/>
        <w:jc w:val="both"/>
        <w:rPr>
          <w:rFonts w:ascii="Times New Roman" w:hAnsi="Times New Roman"/>
          <w:b/>
          <w:i/>
          <w:sz w:val="24"/>
          <w:szCs w:val="24"/>
        </w:rPr>
      </w:pPr>
      <w:r w:rsidRPr="00797B8F">
        <w:rPr>
          <w:rFonts w:ascii="Times New Roman" w:hAnsi="Times New Roman"/>
          <w:b/>
          <w:i/>
          <w:sz w:val="24"/>
          <w:szCs w:val="24"/>
        </w:rPr>
        <w:t>Hotéis - Mínimo 22.23 x UFM e Máximo 66.7 x UFM;</w:t>
      </w:r>
    </w:p>
    <w:p w:rsidR="00797B8F" w:rsidRPr="00797B8F" w:rsidRDefault="00797B8F" w:rsidP="00797B8F">
      <w:pPr>
        <w:numPr>
          <w:ilvl w:val="0"/>
          <w:numId w:val="2"/>
        </w:numPr>
        <w:tabs>
          <w:tab w:val="left" w:pos="284"/>
        </w:tabs>
        <w:suppressAutoHyphens/>
        <w:spacing w:after="0" w:line="240" w:lineRule="auto"/>
        <w:ind w:left="0" w:firstLine="1134"/>
        <w:jc w:val="both"/>
        <w:rPr>
          <w:rFonts w:ascii="Times New Roman" w:hAnsi="Times New Roman"/>
          <w:b/>
          <w:i/>
          <w:sz w:val="24"/>
          <w:szCs w:val="24"/>
        </w:rPr>
      </w:pPr>
      <w:r w:rsidRPr="00797B8F">
        <w:rPr>
          <w:rFonts w:ascii="Times New Roman" w:hAnsi="Times New Roman"/>
          <w:b/>
          <w:i/>
          <w:sz w:val="24"/>
          <w:szCs w:val="24"/>
        </w:rPr>
        <w:t>Para imóveis não edificados – Mínimo 22.23 x UFM e Máximo 44.46.</w:t>
      </w:r>
    </w:p>
    <w:p w:rsidR="00797B8F" w:rsidRPr="00797B8F" w:rsidRDefault="00797B8F" w:rsidP="00797B8F">
      <w:pPr>
        <w:tabs>
          <w:tab w:val="left" w:pos="284"/>
        </w:tabs>
        <w:suppressAutoHyphens/>
        <w:spacing w:after="0" w:line="240" w:lineRule="auto"/>
        <w:ind w:firstLine="1134"/>
        <w:jc w:val="both"/>
        <w:rPr>
          <w:rFonts w:ascii="Times New Roman" w:hAnsi="Times New Roman"/>
          <w:b/>
          <w:i/>
          <w:sz w:val="24"/>
          <w:szCs w:val="24"/>
        </w:rPr>
      </w:pPr>
    </w:p>
    <w:p w:rsidR="00797B8F" w:rsidRPr="00797B8F" w:rsidRDefault="00797B8F" w:rsidP="00797B8F">
      <w:pPr>
        <w:spacing w:before="120"/>
        <w:ind w:firstLine="3118"/>
        <w:jc w:val="both"/>
        <w:rPr>
          <w:rFonts w:ascii="Times New Roman" w:hAnsi="Times New Roman"/>
          <w:b/>
          <w:i/>
          <w:sz w:val="24"/>
          <w:szCs w:val="24"/>
        </w:rPr>
      </w:pPr>
      <w:r w:rsidRPr="00797B8F">
        <w:rPr>
          <w:rFonts w:ascii="Times New Roman" w:hAnsi="Times New Roman"/>
          <w:b/>
          <w:i/>
          <w:sz w:val="24"/>
          <w:szCs w:val="24"/>
        </w:rPr>
        <w:t>§ 5º. Os valores ora estabelecidos em UFM Unidades Fiscais do Município de Pouso Alegre, para fins de constituição dos respectivos créditos, deverão ser convertidos em real, com base no valor da Unidade Fiscal vigente em dezembro do exercício anterior aos lançamentos.</w:t>
      </w:r>
    </w:p>
    <w:p w:rsidR="00797B8F" w:rsidRPr="00797B8F" w:rsidRDefault="00797B8F" w:rsidP="00797B8F">
      <w:pPr>
        <w:ind w:firstLine="3118"/>
        <w:jc w:val="both"/>
        <w:rPr>
          <w:rFonts w:ascii="Times New Roman" w:hAnsi="Times New Roman"/>
          <w:b/>
          <w:i/>
          <w:sz w:val="24"/>
          <w:szCs w:val="24"/>
        </w:rPr>
      </w:pPr>
      <w:r w:rsidRPr="00797B8F">
        <w:rPr>
          <w:rFonts w:ascii="Times New Roman" w:hAnsi="Times New Roman"/>
          <w:b/>
          <w:i/>
          <w:sz w:val="24"/>
          <w:szCs w:val="24"/>
        </w:rPr>
        <w:t>Art. 238.  O contribuinte da taxa é o proprietá</w:t>
      </w:r>
      <w:r w:rsidRPr="00797B8F">
        <w:rPr>
          <w:rFonts w:ascii="Times New Roman" w:hAnsi="Times New Roman"/>
          <w:b/>
          <w:i/>
          <w:sz w:val="24"/>
          <w:szCs w:val="24"/>
        </w:rPr>
        <w:softHyphen/>
        <w:t>rio, o titular do domínio útil ou o possuidor, a qualquer título, de imóveis situados em vias e logradouros públicos ou particula</w:t>
      </w:r>
      <w:r w:rsidRPr="00797B8F">
        <w:rPr>
          <w:rFonts w:ascii="Times New Roman" w:hAnsi="Times New Roman"/>
          <w:b/>
          <w:i/>
          <w:sz w:val="24"/>
          <w:szCs w:val="24"/>
        </w:rPr>
        <w:softHyphen/>
        <w:t>res, onde a Prefeitura mantenha os ser</w:t>
      </w:r>
      <w:r w:rsidRPr="00797B8F">
        <w:rPr>
          <w:rFonts w:ascii="Times New Roman" w:hAnsi="Times New Roman"/>
          <w:b/>
          <w:i/>
          <w:sz w:val="24"/>
          <w:szCs w:val="24"/>
        </w:rPr>
        <w:softHyphen/>
        <w:t xml:space="preserve">viços a que se refere o artigo 236 da presente lei. </w:t>
      </w:r>
    </w:p>
    <w:p w:rsidR="00797B8F" w:rsidRPr="00797B8F" w:rsidRDefault="00797B8F" w:rsidP="00797B8F">
      <w:pPr>
        <w:ind w:firstLine="3118"/>
        <w:jc w:val="both"/>
        <w:rPr>
          <w:rFonts w:ascii="Times New Roman" w:hAnsi="Times New Roman"/>
          <w:b/>
          <w:i/>
          <w:sz w:val="24"/>
          <w:szCs w:val="24"/>
        </w:rPr>
      </w:pPr>
      <w:r w:rsidRPr="00797B8F">
        <w:rPr>
          <w:rFonts w:ascii="Times New Roman" w:hAnsi="Times New Roman"/>
          <w:b/>
          <w:i/>
          <w:sz w:val="24"/>
          <w:szCs w:val="24"/>
        </w:rPr>
        <w:t xml:space="preserve"> Art. 240. No caso da arrecadação da Taxa de Coleta de Lixo ser promovida por terceiros, a importância arrecadada deverá ser transferida na sua totalidade até o dia 10 (dez) do mês seguinte ao seu recolhimento, e conforme preceitos contábeis estabelecidos em legislação própria. </w:t>
      </w:r>
    </w:p>
    <w:p w:rsidR="00797B8F" w:rsidRPr="00797B8F" w:rsidRDefault="00797B8F" w:rsidP="00797B8F">
      <w:pPr>
        <w:ind w:firstLine="3118"/>
        <w:jc w:val="both"/>
        <w:rPr>
          <w:rFonts w:ascii="Times New Roman" w:hAnsi="Times New Roman"/>
          <w:b/>
          <w:i/>
          <w:sz w:val="24"/>
          <w:szCs w:val="24"/>
        </w:rPr>
      </w:pPr>
      <w:r w:rsidRPr="00797B8F">
        <w:rPr>
          <w:rFonts w:ascii="Times New Roman" w:hAnsi="Times New Roman"/>
          <w:b/>
          <w:i/>
          <w:sz w:val="24"/>
          <w:szCs w:val="24"/>
        </w:rPr>
        <w:t xml:space="preserve">Art. 239. </w:t>
      </w:r>
      <w:proofErr w:type="gramStart"/>
      <w:r w:rsidRPr="00797B8F">
        <w:rPr>
          <w:rFonts w:ascii="Times New Roman" w:hAnsi="Times New Roman"/>
          <w:b/>
          <w:i/>
          <w:sz w:val="24"/>
          <w:szCs w:val="24"/>
        </w:rPr>
        <w:t>Em caso de inadimplência, sobre os valores lançados incidirão os mesmos encargos de mora estabelecidos para o IPTU, na forma, percentuais e prazos estabelecidos.”</w:t>
      </w:r>
      <w:proofErr w:type="gramEnd"/>
      <w:r w:rsidRPr="00797B8F">
        <w:rPr>
          <w:rFonts w:ascii="Times New Roman" w:hAnsi="Times New Roman"/>
          <w:b/>
          <w:i/>
          <w:sz w:val="24"/>
          <w:szCs w:val="24"/>
        </w:rPr>
        <w:t xml:space="preserve"> </w:t>
      </w:r>
    </w:p>
    <w:p w:rsidR="00797B8F" w:rsidRPr="00797B8F" w:rsidRDefault="00797B8F" w:rsidP="00797B8F">
      <w:pPr>
        <w:ind w:firstLine="3118"/>
        <w:jc w:val="both"/>
        <w:rPr>
          <w:rFonts w:ascii="Times New Roman" w:hAnsi="Times New Roman"/>
          <w:sz w:val="24"/>
          <w:szCs w:val="24"/>
        </w:rPr>
      </w:pPr>
      <w:r w:rsidRPr="00797B8F">
        <w:rPr>
          <w:rFonts w:ascii="Times New Roman" w:hAnsi="Times New Roman"/>
          <w:b/>
          <w:sz w:val="24"/>
          <w:szCs w:val="24"/>
        </w:rPr>
        <w:lastRenderedPageBreak/>
        <w:t>Art. 2</w:t>
      </w:r>
      <w:r w:rsidRPr="00797B8F">
        <w:rPr>
          <w:rFonts w:ascii="Times New Roman" w:hAnsi="Times New Roman"/>
          <w:b/>
          <w:bCs/>
          <w:sz w:val="24"/>
          <w:szCs w:val="24"/>
          <w:vertAlign w:val="superscript"/>
        </w:rPr>
        <w:t>o</w:t>
      </w:r>
      <w:r w:rsidRPr="00797B8F">
        <w:rPr>
          <w:rFonts w:ascii="Times New Roman" w:hAnsi="Times New Roman"/>
          <w:sz w:val="24"/>
          <w:szCs w:val="24"/>
        </w:rPr>
        <w:t xml:space="preserve"> - Os artigos 2º, 3º e 4º, da Lei 4118/2002, de 27/12/2002, que instituiu a CIP - Contribuição para o Custeio do Serviço de Iluminação Pública, passam a vigorar com a seguinte redação:</w:t>
      </w:r>
    </w:p>
    <w:p w:rsidR="00797B8F" w:rsidRPr="00797B8F" w:rsidRDefault="00797B8F" w:rsidP="00797B8F">
      <w:pPr>
        <w:ind w:firstLine="3118"/>
        <w:jc w:val="both"/>
        <w:rPr>
          <w:rFonts w:ascii="Times New Roman" w:hAnsi="Times New Roman"/>
          <w:b/>
          <w:i/>
          <w:sz w:val="24"/>
          <w:szCs w:val="24"/>
        </w:rPr>
      </w:pPr>
      <w:r w:rsidRPr="00797B8F">
        <w:rPr>
          <w:rFonts w:ascii="Times New Roman" w:hAnsi="Times New Roman"/>
          <w:b/>
          <w:i/>
          <w:sz w:val="24"/>
          <w:szCs w:val="24"/>
        </w:rPr>
        <w:t>“Art. 2º.</w:t>
      </w:r>
      <w:proofErr w:type="gramStart"/>
      <w:r w:rsidRPr="00797B8F">
        <w:rPr>
          <w:rFonts w:ascii="Times New Roman" w:hAnsi="Times New Roman"/>
          <w:b/>
          <w:i/>
          <w:sz w:val="24"/>
          <w:szCs w:val="24"/>
        </w:rPr>
        <w:t xml:space="preserve">  </w:t>
      </w:r>
      <w:proofErr w:type="gramEnd"/>
      <w:r w:rsidRPr="00797B8F">
        <w:rPr>
          <w:rFonts w:ascii="Times New Roman" w:hAnsi="Times New Roman"/>
          <w:b/>
          <w:i/>
          <w:sz w:val="24"/>
          <w:szCs w:val="24"/>
        </w:rPr>
        <w:t>O fato gerador da CIP é a disponibilidade ou uso dos serviços previstos no artigo 1º desta lei.</w:t>
      </w:r>
    </w:p>
    <w:p w:rsidR="00797B8F" w:rsidRPr="00797B8F" w:rsidRDefault="00797B8F" w:rsidP="00797B8F">
      <w:pPr>
        <w:ind w:firstLine="3118"/>
        <w:jc w:val="both"/>
        <w:rPr>
          <w:rFonts w:ascii="Times New Roman" w:hAnsi="Times New Roman"/>
          <w:b/>
          <w:i/>
          <w:sz w:val="24"/>
          <w:szCs w:val="24"/>
        </w:rPr>
      </w:pPr>
      <w:r w:rsidRPr="00797B8F">
        <w:rPr>
          <w:rFonts w:ascii="Times New Roman" w:hAnsi="Times New Roman"/>
          <w:b/>
          <w:i/>
          <w:sz w:val="24"/>
          <w:szCs w:val="24"/>
        </w:rPr>
        <w:t>Art. 3º - O Sujeito Passivo da CIP é o proprietário, o titular do domínio útil ou o possuidor, a qualquer título, de unidade imobiliária situado no território do Município a qualquer título, consumidor ou não de energia elétrica.</w:t>
      </w:r>
    </w:p>
    <w:p w:rsidR="00797B8F" w:rsidRPr="00797B8F" w:rsidRDefault="00797B8F" w:rsidP="00797B8F">
      <w:pPr>
        <w:ind w:firstLine="3118"/>
        <w:jc w:val="both"/>
        <w:rPr>
          <w:rFonts w:ascii="Times New Roman" w:hAnsi="Times New Roman"/>
          <w:b/>
          <w:i/>
          <w:sz w:val="24"/>
          <w:szCs w:val="24"/>
        </w:rPr>
      </w:pPr>
      <w:r w:rsidRPr="00797B8F">
        <w:rPr>
          <w:rFonts w:ascii="Times New Roman" w:hAnsi="Times New Roman"/>
          <w:b/>
          <w:i/>
          <w:sz w:val="24"/>
          <w:szCs w:val="24"/>
        </w:rPr>
        <w:t xml:space="preserve">Art. 4º - A Base de Cálculo da CIP é o custo ou despesas com a prestação dos serviços enumerados no artigo 1º desta lei, rateada entre os sujeitos passivos que trata o art. 3º, de ocupação por natureza ou acessão física, presentes no território do Município, lançado conforme disposto nesta lei. </w:t>
      </w:r>
    </w:p>
    <w:p w:rsidR="00797B8F" w:rsidRPr="00797B8F" w:rsidRDefault="00797B8F" w:rsidP="00797B8F">
      <w:pPr>
        <w:ind w:firstLine="3118"/>
        <w:jc w:val="both"/>
        <w:rPr>
          <w:rFonts w:ascii="Times New Roman" w:hAnsi="Times New Roman"/>
          <w:b/>
          <w:i/>
          <w:sz w:val="24"/>
          <w:szCs w:val="24"/>
        </w:rPr>
      </w:pPr>
      <w:r w:rsidRPr="00797B8F">
        <w:rPr>
          <w:rFonts w:ascii="Times New Roman" w:hAnsi="Times New Roman"/>
          <w:b/>
          <w:i/>
          <w:sz w:val="24"/>
          <w:szCs w:val="24"/>
        </w:rPr>
        <w:t>§1º - O valor da Contribuição para Custeio do Serviço de Iluminação Pública fica fixado conforme este artigo, e terá seu valor apurado mensalmente em função do valor em reais estabelecido para a Tarifa de Iluminação Pública vigente - subgrupo B4b - mediante a aplicação das alíquotas abaixo e observado os intervalos de consumo indicados, para os percentuais correspondentes:</w:t>
      </w:r>
    </w:p>
    <w:tbl>
      <w:tblPr>
        <w:tblW w:w="6120" w:type="dxa"/>
        <w:jc w:val="center"/>
        <w:tblLayout w:type="fixed"/>
        <w:tblLook w:val="04A0"/>
      </w:tblPr>
      <w:tblGrid>
        <w:gridCol w:w="3146"/>
        <w:gridCol w:w="2974"/>
      </w:tblGrid>
      <w:tr w:rsidR="00797B8F" w:rsidRPr="00797B8F" w:rsidTr="00797B8F">
        <w:trPr>
          <w:jc w:val="center"/>
        </w:trPr>
        <w:tc>
          <w:tcPr>
            <w:tcW w:w="3148" w:type="dxa"/>
            <w:tcBorders>
              <w:top w:val="single" w:sz="4" w:space="0" w:color="000000"/>
              <w:left w:val="single" w:sz="4" w:space="0" w:color="000000"/>
              <w:bottom w:val="single" w:sz="4" w:space="0" w:color="000000"/>
              <w:right w:val="nil"/>
            </w:tcBorders>
            <w:hideMark/>
          </w:tcPr>
          <w:p w:rsidR="00797B8F" w:rsidRPr="00797B8F" w:rsidRDefault="00797B8F">
            <w:pPr>
              <w:suppressAutoHyphens/>
              <w:spacing w:after="0"/>
              <w:jc w:val="both"/>
              <w:rPr>
                <w:rFonts w:ascii="Times New Roman" w:hAnsi="Times New Roman"/>
                <w:b/>
                <w:i/>
                <w:sz w:val="24"/>
                <w:szCs w:val="24"/>
                <w:lang w:eastAsia="zh-CN"/>
              </w:rPr>
            </w:pPr>
            <w:r w:rsidRPr="00797B8F">
              <w:rPr>
                <w:rFonts w:ascii="Times New Roman" w:hAnsi="Times New Roman"/>
                <w:b/>
                <w:i/>
                <w:sz w:val="24"/>
                <w:szCs w:val="24"/>
              </w:rPr>
              <w:t>Faixa de consumo – kWh</w:t>
            </w:r>
          </w:p>
        </w:tc>
        <w:tc>
          <w:tcPr>
            <w:tcW w:w="2976" w:type="dxa"/>
            <w:tcBorders>
              <w:top w:val="single" w:sz="4" w:space="0" w:color="000000"/>
              <w:left w:val="single" w:sz="4" w:space="0" w:color="000000"/>
              <w:bottom w:val="single" w:sz="4" w:space="0" w:color="000000"/>
              <w:right w:val="single" w:sz="4" w:space="0" w:color="000000"/>
            </w:tcBorders>
            <w:hideMark/>
          </w:tcPr>
          <w:p w:rsidR="00797B8F" w:rsidRPr="00797B8F" w:rsidRDefault="00797B8F">
            <w:pPr>
              <w:suppressAutoHyphens/>
              <w:spacing w:after="0"/>
              <w:jc w:val="both"/>
              <w:rPr>
                <w:rFonts w:ascii="Times New Roman" w:hAnsi="Times New Roman"/>
                <w:b/>
                <w:i/>
                <w:sz w:val="24"/>
                <w:szCs w:val="24"/>
                <w:lang w:eastAsia="zh-CN"/>
              </w:rPr>
            </w:pPr>
            <w:r w:rsidRPr="00797B8F">
              <w:rPr>
                <w:rFonts w:ascii="Times New Roman" w:hAnsi="Times New Roman"/>
                <w:b/>
                <w:i/>
                <w:sz w:val="24"/>
                <w:szCs w:val="24"/>
              </w:rPr>
              <w:t>Percentuais da Tarifa IP</w:t>
            </w:r>
          </w:p>
        </w:tc>
      </w:tr>
      <w:tr w:rsidR="00797B8F" w:rsidRPr="00797B8F" w:rsidTr="00797B8F">
        <w:trPr>
          <w:jc w:val="center"/>
        </w:trPr>
        <w:tc>
          <w:tcPr>
            <w:tcW w:w="3148" w:type="dxa"/>
            <w:tcBorders>
              <w:top w:val="single" w:sz="4" w:space="0" w:color="000000"/>
              <w:left w:val="single" w:sz="4" w:space="0" w:color="000000"/>
              <w:bottom w:val="single" w:sz="4" w:space="0" w:color="000000"/>
              <w:right w:val="nil"/>
            </w:tcBorders>
            <w:hideMark/>
          </w:tcPr>
          <w:p w:rsidR="00797B8F" w:rsidRPr="00797B8F" w:rsidRDefault="00797B8F">
            <w:pPr>
              <w:suppressAutoHyphens/>
              <w:spacing w:after="0"/>
              <w:jc w:val="both"/>
              <w:rPr>
                <w:rFonts w:ascii="Times New Roman" w:hAnsi="Times New Roman"/>
                <w:b/>
                <w:i/>
                <w:sz w:val="24"/>
                <w:szCs w:val="24"/>
                <w:lang w:eastAsia="zh-CN"/>
              </w:rPr>
            </w:pPr>
            <w:r w:rsidRPr="00797B8F">
              <w:rPr>
                <w:rFonts w:ascii="Times New Roman" w:hAnsi="Times New Roman"/>
                <w:b/>
                <w:i/>
                <w:sz w:val="24"/>
                <w:szCs w:val="24"/>
              </w:rPr>
              <w:t>0 a 50</w:t>
            </w:r>
          </w:p>
        </w:tc>
        <w:tc>
          <w:tcPr>
            <w:tcW w:w="2976" w:type="dxa"/>
            <w:tcBorders>
              <w:top w:val="single" w:sz="4" w:space="0" w:color="000000"/>
              <w:left w:val="single" w:sz="4" w:space="0" w:color="000000"/>
              <w:bottom w:val="single" w:sz="4" w:space="0" w:color="000000"/>
              <w:right w:val="single" w:sz="4" w:space="0" w:color="000000"/>
            </w:tcBorders>
            <w:hideMark/>
          </w:tcPr>
          <w:p w:rsidR="00797B8F" w:rsidRPr="00797B8F" w:rsidRDefault="00797B8F">
            <w:pPr>
              <w:suppressAutoHyphens/>
              <w:spacing w:after="0"/>
              <w:jc w:val="both"/>
              <w:rPr>
                <w:rFonts w:ascii="Times New Roman" w:hAnsi="Times New Roman"/>
                <w:b/>
                <w:i/>
                <w:sz w:val="24"/>
                <w:szCs w:val="24"/>
                <w:lang w:eastAsia="zh-CN"/>
              </w:rPr>
            </w:pPr>
            <w:r w:rsidRPr="00797B8F">
              <w:rPr>
                <w:rFonts w:ascii="Times New Roman" w:hAnsi="Times New Roman"/>
                <w:b/>
                <w:i/>
                <w:sz w:val="24"/>
                <w:szCs w:val="24"/>
              </w:rPr>
              <w:t>Isento</w:t>
            </w:r>
          </w:p>
        </w:tc>
      </w:tr>
      <w:tr w:rsidR="00797B8F" w:rsidRPr="00797B8F" w:rsidTr="00797B8F">
        <w:trPr>
          <w:jc w:val="center"/>
        </w:trPr>
        <w:tc>
          <w:tcPr>
            <w:tcW w:w="3148" w:type="dxa"/>
            <w:tcBorders>
              <w:top w:val="single" w:sz="4" w:space="0" w:color="000000"/>
              <w:left w:val="single" w:sz="4" w:space="0" w:color="000000"/>
              <w:bottom w:val="single" w:sz="4" w:space="0" w:color="000000"/>
              <w:right w:val="nil"/>
            </w:tcBorders>
            <w:hideMark/>
          </w:tcPr>
          <w:p w:rsidR="00797B8F" w:rsidRPr="00797B8F" w:rsidRDefault="00797B8F">
            <w:pPr>
              <w:suppressAutoHyphens/>
              <w:spacing w:after="0"/>
              <w:jc w:val="both"/>
              <w:rPr>
                <w:rFonts w:ascii="Times New Roman" w:hAnsi="Times New Roman"/>
                <w:b/>
                <w:i/>
                <w:sz w:val="24"/>
                <w:szCs w:val="24"/>
                <w:lang w:eastAsia="zh-CN"/>
              </w:rPr>
            </w:pPr>
            <w:r w:rsidRPr="00797B8F">
              <w:rPr>
                <w:rFonts w:ascii="Times New Roman" w:hAnsi="Times New Roman"/>
                <w:b/>
                <w:i/>
                <w:sz w:val="24"/>
                <w:szCs w:val="24"/>
              </w:rPr>
              <w:t>51 a 100</w:t>
            </w:r>
          </w:p>
        </w:tc>
        <w:tc>
          <w:tcPr>
            <w:tcW w:w="2976" w:type="dxa"/>
            <w:tcBorders>
              <w:top w:val="single" w:sz="4" w:space="0" w:color="000000"/>
              <w:left w:val="single" w:sz="4" w:space="0" w:color="000000"/>
              <w:bottom w:val="single" w:sz="4" w:space="0" w:color="000000"/>
              <w:right w:val="single" w:sz="4" w:space="0" w:color="000000"/>
            </w:tcBorders>
            <w:hideMark/>
          </w:tcPr>
          <w:p w:rsidR="00797B8F" w:rsidRPr="00797B8F" w:rsidRDefault="00797B8F">
            <w:pPr>
              <w:suppressAutoHyphens/>
              <w:spacing w:after="0"/>
              <w:jc w:val="both"/>
              <w:rPr>
                <w:rFonts w:ascii="Times New Roman" w:hAnsi="Times New Roman"/>
                <w:b/>
                <w:i/>
                <w:sz w:val="24"/>
                <w:szCs w:val="24"/>
                <w:lang w:eastAsia="zh-CN"/>
              </w:rPr>
            </w:pPr>
            <w:r w:rsidRPr="00797B8F">
              <w:rPr>
                <w:rFonts w:ascii="Times New Roman" w:hAnsi="Times New Roman"/>
                <w:b/>
                <w:i/>
                <w:sz w:val="24"/>
                <w:szCs w:val="24"/>
              </w:rPr>
              <w:t>3,5%</w:t>
            </w:r>
          </w:p>
        </w:tc>
      </w:tr>
      <w:tr w:rsidR="00797B8F" w:rsidRPr="00797B8F" w:rsidTr="00797B8F">
        <w:trPr>
          <w:jc w:val="center"/>
        </w:trPr>
        <w:tc>
          <w:tcPr>
            <w:tcW w:w="3148" w:type="dxa"/>
            <w:tcBorders>
              <w:top w:val="single" w:sz="4" w:space="0" w:color="000000"/>
              <w:left w:val="single" w:sz="4" w:space="0" w:color="000000"/>
              <w:bottom w:val="single" w:sz="4" w:space="0" w:color="000000"/>
              <w:right w:val="nil"/>
            </w:tcBorders>
            <w:hideMark/>
          </w:tcPr>
          <w:p w:rsidR="00797B8F" w:rsidRPr="00797B8F" w:rsidRDefault="00797B8F">
            <w:pPr>
              <w:suppressAutoHyphens/>
              <w:spacing w:after="0"/>
              <w:jc w:val="both"/>
              <w:rPr>
                <w:rFonts w:ascii="Times New Roman" w:hAnsi="Times New Roman"/>
                <w:b/>
                <w:i/>
                <w:sz w:val="24"/>
                <w:szCs w:val="24"/>
                <w:lang w:eastAsia="zh-CN"/>
              </w:rPr>
            </w:pPr>
            <w:r w:rsidRPr="00797B8F">
              <w:rPr>
                <w:rFonts w:ascii="Times New Roman" w:hAnsi="Times New Roman"/>
                <w:b/>
                <w:i/>
                <w:sz w:val="24"/>
                <w:szCs w:val="24"/>
              </w:rPr>
              <w:t>101 a 200</w:t>
            </w:r>
          </w:p>
        </w:tc>
        <w:tc>
          <w:tcPr>
            <w:tcW w:w="2976" w:type="dxa"/>
            <w:tcBorders>
              <w:top w:val="single" w:sz="4" w:space="0" w:color="000000"/>
              <w:left w:val="single" w:sz="4" w:space="0" w:color="000000"/>
              <w:bottom w:val="single" w:sz="4" w:space="0" w:color="000000"/>
              <w:right w:val="single" w:sz="4" w:space="0" w:color="000000"/>
            </w:tcBorders>
            <w:hideMark/>
          </w:tcPr>
          <w:p w:rsidR="00797B8F" w:rsidRPr="00797B8F" w:rsidRDefault="00797B8F">
            <w:pPr>
              <w:suppressAutoHyphens/>
              <w:spacing w:after="0"/>
              <w:jc w:val="both"/>
              <w:rPr>
                <w:rFonts w:ascii="Times New Roman" w:hAnsi="Times New Roman"/>
                <w:b/>
                <w:i/>
                <w:sz w:val="24"/>
                <w:szCs w:val="24"/>
                <w:lang w:eastAsia="zh-CN"/>
              </w:rPr>
            </w:pPr>
            <w:r w:rsidRPr="00797B8F">
              <w:rPr>
                <w:rFonts w:ascii="Times New Roman" w:hAnsi="Times New Roman"/>
                <w:b/>
                <w:i/>
                <w:sz w:val="24"/>
                <w:szCs w:val="24"/>
              </w:rPr>
              <w:t>7,2%</w:t>
            </w:r>
          </w:p>
        </w:tc>
      </w:tr>
      <w:tr w:rsidR="00797B8F" w:rsidRPr="00797B8F" w:rsidTr="00797B8F">
        <w:trPr>
          <w:jc w:val="center"/>
        </w:trPr>
        <w:tc>
          <w:tcPr>
            <w:tcW w:w="3148" w:type="dxa"/>
            <w:tcBorders>
              <w:top w:val="single" w:sz="4" w:space="0" w:color="000000"/>
              <w:left w:val="single" w:sz="4" w:space="0" w:color="000000"/>
              <w:bottom w:val="single" w:sz="4" w:space="0" w:color="000000"/>
              <w:right w:val="nil"/>
            </w:tcBorders>
            <w:hideMark/>
          </w:tcPr>
          <w:p w:rsidR="00797B8F" w:rsidRPr="00797B8F" w:rsidRDefault="00797B8F">
            <w:pPr>
              <w:suppressAutoHyphens/>
              <w:spacing w:after="0"/>
              <w:jc w:val="both"/>
              <w:rPr>
                <w:rFonts w:ascii="Times New Roman" w:hAnsi="Times New Roman"/>
                <w:b/>
                <w:i/>
                <w:sz w:val="24"/>
                <w:szCs w:val="24"/>
                <w:lang w:eastAsia="zh-CN"/>
              </w:rPr>
            </w:pPr>
            <w:r w:rsidRPr="00797B8F">
              <w:rPr>
                <w:rFonts w:ascii="Times New Roman" w:hAnsi="Times New Roman"/>
                <w:b/>
                <w:i/>
                <w:sz w:val="24"/>
                <w:szCs w:val="24"/>
              </w:rPr>
              <w:t>201 a 300</w:t>
            </w:r>
          </w:p>
        </w:tc>
        <w:tc>
          <w:tcPr>
            <w:tcW w:w="2976" w:type="dxa"/>
            <w:tcBorders>
              <w:top w:val="single" w:sz="4" w:space="0" w:color="000000"/>
              <w:left w:val="single" w:sz="4" w:space="0" w:color="000000"/>
              <w:bottom w:val="single" w:sz="4" w:space="0" w:color="000000"/>
              <w:right w:val="single" w:sz="4" w:space="0" w:color="000000"/>
            </w:tcBorders>
            <w:hideMark/>
          </w:tcPr>
          <w:p w:rsidR="00797B8F" w:rsidRPr="00797B8F" w:rsidRDefault="00797B8F">
            <w:pPr>
              <w:suppressAutoHyphens/>
              <w:spacing w:after="0"/>
              <w:jc w:val="both"/>
              <w:rPr>
                <w:rFonts w:ascii="Times New Roman" w:hAnsi="Times New Roman"/>
                <w:b/>
                <w:i/>
                <w:sz w:val="24"/>
                <w:szCs w:val="24"/>
                <w:lang w:eastAsia="zh-CN"/>
              </w:rPr>
            </w:pPr>
            <w:r w:rsidRPr="00797B8F">
              <w:rPr>
                <w:rFonts w:ascii="Times New Roman" w:hAnsi="Times New Roman"/>
                <w:b/>
                <w:i/>
                <w:sz w:val="24"/>
                <w:szCs w:val="24"/>
              </w:rPr>
              <w:t>9,6%</w:t>
            </w:r>
          </w:p>
        </w:tc>
      </w:tr>
      <w:tr w:rsidR="00797B8F" w:rsidRPr="00797B8F" w:rsidTr="00797B8F">
        <w:trPr>
          <w:jc w:val="center"/>
        </w:trPr>
        <w:tc>
          <w:tcPr>
            <w:tcW w:w="3148" w:type="dxa"/>
            <w:tcBorders>
              <w:top w:val="single" w:sz="4" w:space="0" w:color="000000"/>
              <w:left w:val="single" w:sz="4" w:space="0" w:color="000000"/>
              <w:bottom w:val="single" w:sz="4" w:space="0" w:color="000000"/>
              <w:right w:val="nil"/>
            </w:tcBorders>
            <w:hideMark/>
          </w:tcPr>
          <w:p w:rsidR="00797B8F" w:rsidRPr="00797B8F" w:rsidRDefault="00797B8F">
            <w:pPr>
              <w:suppressAutoHyphens/>
              <w:spacing w:after="0"/>
              <w:jc w:val="both"/>
              <w:rPr>
                <w:rFonts w:ascii="Times New Roman" w:hAnsi="Times New Roman"/>
                <w:b/>
                <w:i/>
                <w:sz w:val="24"/>
                <w:szCs w:val="24"/>
                <w:lang w:eastAsia="zh-CN"/>
              </w:rPr>
            </w:pPr>
            <w:r w:rsidRPr="00797B8F">
              <w:rPr>
                <w:rFonts w:ascii="Times New Roman" w:hAnsi="Times New Roman"/>
                <w:b/>
                <w:i/>
                <w:sz w:val="24"/>
                <w:szCs w:val="24"/>
              </w:rPr>
              <w:t>Acima de 301</w:t>
            </w:r>
          </w:p>
        </w:tc>
        <w:tc>
          <w:tcPr>
            <w:tcW w:w="2976" w:type="dxa"/>
            <w:tcBorders>
              <w:top w:val="single" w:sz="4" w:space="0" w:color="000000"/>
              <w:left w:val="single" w:sz="4" w:space="0" w:color="000000"/>
              <w:bottom w:val="single" w:sz="4" w:space="0" w:color="000000"/>
              <w:right w:val="single" w:sz="4" w:space="0" w:color="000000"/>
            </w:tcBorders>
            <w:hideMark/>
          </w:tcPr>
          <w:p w:rsidR="00797B8F" w:rsidRPr="00797B8F" w:rsidRDefault="00797B8F">
            <w:pPr>
              <w:suppressAutoHyphens/>
              <w:spacing w:after="0"/>
              <w:jc w:val="both"/>
              <w:rPr>
                <w:rFonts w:ascii="Times New Roman" w:hAnsi="Times New Roman"/>
                <w:b/>
                <w:i/>
                <w:sz w:val="24"/>
                <w:szCs w:val="24"/>
                <w:lang w:eastAsia="zh-CN"/>
              </w:rPr>
            </w:pPr>
            <w:r w:rsidRPr="00797B8F">
              <w:rPr>
                <w:rFonts w:ascii="Times New Roman" w:hAnsi="Times New Roman"/>
                <w:b/>
                <w:i/>
                <w:sz w:val="24"/>
                <w:szCs w:val="24"/>
              </w:rPr>
              <w:t>18,00%</w:t>
            </w:r>
          </w:p>
        </w:tc>
      </w:tr>
    </w:tbl>
    <w:p w:rsidR="00797B8F" w:rsidRPr="00797B8F" w:rsidRDefault="00797B8F" w:rsidP="00797B8F">
      <w:pPr>
        <w:ind w:left="1416" w:firstLine="3118"/>
        <w:jc w:val="both"/>
        <w:rPr>
          <w:rFonts w:ascii="Times New Roman" w:hAnsi="Times New Roman"/>
          <w:b/>
          <w:i/>
          <w:sz w:val="24"/>
          <w:szCs w:val="24"/>
          <w:lang w:eastAsia="zh-CN"/>
        </w:rPr>
      </w:pPr>
    </w:p>
    <w:p w:rsidR="00797B8F" w:rsidRPr="00797B8F" w:rsidRDefault="00797B8F" w:rsidP="00797B8F">
      <w:pPr>
        <w:ind w:firstLine="3118"/>
        <w:jc w:val="both"/>
        <w:rPr>
          <w:rFonts w:ascii="Times New Roman" w:hAnsi="Times New Roman"/>
          <w:b/>
          <w:i/>
          <w:sz w:val="24"/>
          <w:szCs w:val="24"/>
        </w:rPr>
      </w:pPr>
      <w:r w:rsidRPr="00797B8F">
        <w:rPr>
          <w:rFonts w:ascii="Times New Roman" w:hAnsi="Times New Roman"/>
          <w:b/>
          <w:i/>
          <w:sz w:val="24"/>
          <w:szCs w:val="24"/>
        </w:rPr>
        <w:t xml:space="preserve">§ 2º.  Quando incidente em imóvel não consumidor de energia elétrica ou lote vago, a cobrança será anual e poderá ser lançada em conjunto com o IPTU ou qualquer outra forma de arrecadação estabelecida em legislação própria, e terá o valor de 1,6 UFM (um </w:t>
      </w:r>
      <w:proofErr w:type="gramStart"/>
      <w:r w:rsidRPr="00797B8F">
        <w:rPr>
          <w:rFonts w:ascii="Times New Roman" w:hAnsi="Times New Roman"/>
          <w:b/>
          <w:i/>
          <w:sz w:val="24"/>
          <w:szCs w:val="24"/>
        </w:rPr>
        <w:t>virgula</w:t>
      </w:r>
      <w:proofErr w:type="gramEnd"/>
      <w:r w:rsidRPr="00797B8F">
        <w:rPr>
          <w:rFonts w:ascii="Times New Roman" w:hAnsi="Times New Roman"/>
          <w:b/>
          <w:i/>
          <w:sz w:val="24"/>
          <w:szCs w:val="24"/>
        </w:rPr>
        <w:t xml:space="preserve"> seis Unidades Fiscais), aplicado sobre o valor vigente para a Unidade Fiscal do Município de Pouso Alegre (UFM) em dezembro do exercício anterior a constituição dos créditos, multiplicado por metro linear de testada do imóvel, sofrendo a cada exercício as mesmas atualizações estabelecidas para a Unidade Fiscal.</w:t>
      </w:r>
    </w:p>
    <w:p w:rsidR="00797B8F" w:rsidRPr="00797B8F" w:rsidRDefault="00797B8F" w:rsidP="00797B8F">
      <w:pPr>
        <w:ind w:firstLine="3118"/>
        <w:jc w:val="both"/>
        <w:rPr>
          <w:rFonts w:ascii="Times New Roman" w:hAnsi="Times New Roman"/>
          <w:b/>
          <w:i/>
          <w:sz w:val="24"/>
          <w:szCs w:val="24"/>
        </w:rPr>
      </w:pPr>
      <w:r w:rsidRPr="00797B8F">
        <w:rPr>
          <w:rFonts w:ascii="Times New Roman" w:hAnsi="Times New Roman"/>
          <w:b/>
          <w:i/>
          <w:sz w:val="24"/>
          <w:szCs w:val="24"/>
        </w:rPr>
        <w:t xml:space="preserve">§3º - Em caso de impedimento da utilização dos valores ora estabelecidos, ficam os valores lançados convertidos em moeda nacional e, equiparadas à Unidade Fiscal do Município, para as devidas atualizações, na data </w:t>
      </w:r>
      <w:r w:rsidRPr="00797B8F">
        <w:rPr>
          <w:rFonts w:ascii="Times New Roman" w:hAnsi="Times New Roman"/>
          <w:b/>
          <w:i/>
          <w:sz w:val="24"/>
          <w:szCs w:val="24"/>
        </w:rPr>
        <w:lastRenderedPageBreak/>
        <w:t>da decisão que assim determinar, de forma a viabilizar o custeio e a prestação destes serviços públicos.</w:t>
      </w:r>
    </w:p>
    <w:p w:rsidR="00797B8F" w:rsidRPr="00797B8F" w:rsidRDefault="00797B8F" w:rsidP="00797B8F">
      <w:pPr>
        <w:ind w:firstLine="3118"/>
        <w:jc w:val="both"/>
        <w:rPr>
          <w:rFonts w:ascii="Times New Roman" w:hAnsi="Times New Roman"/>
          <w:b/>
          <w:i/>
          <w:sz w:val="24"/>
          <w:szCs w:val="24"/>
        </w:rPr>
      </w:pPr>
      <w:r w:rsidRPr="00797B8F">
        <w:rPr>
          <w:rFonts w:ascii="Times New Roman" w:hAnsi="Times New Roman"/>
          <w:b/>
          <w:i/>
          <w:sz w:val="24"/>
          <w:szCs w:val="24"/>
        </w:rPr>
        <w:t>§4º - As alíquotas de contribuição são diferenciadas conforme a classe de consumidores e a quantidade de consumo medida em KW/h, conforme a tabela acima, cuja determinação da classe/categoria de consumo observará as normas da Agência Nacional de Energia Elétrica - ANEEL - ou órgão regulador que vier a substituí-la.</w:t>
      </w:r>
    </w:p>
    <w:p w:rsidR="00797B8F" w:rsidRPr="00797B8F" w:rsidRDefault="00797B8F" w:rsidP="00797B8F">
      <w:pPr>
        <w:ind w:firstLine="3118"/>
        <w:jc w:val="both"/>
        <w:rPr>
          <w:rFonts w:ascii="Times New Roman" w:hAnsi="Times New Roman"/>
          <w:b/>
          <w:i/>
          <w:sz w:val="24"/>
          <w:szCs w:val="24"/>
        </w:rPr>
      </w:pPr>
      <w:r w:rsidRPr="00797B8F">
        <w:rPr>
          <w:rFonts w:ascii="Times New Roman" w:hAnsi="Times New Roman"/>
          <w:b/>
          <w:i/>
          <w:sz w:val="24"/>
          <w:szCs w:val="24"/>
        </w:rPr>
        <w:t>§5º - A cobrança que trata o § 2º deste artigo não poderá exceder ao valor de</w:t>
      </w:r>
      <w:proofErr w:type="gramStart"/>
      <w:r w:rsidRPr="00797B8F">
        <w:rPr>
          <w:rFonts w:ascii="Times New Roman" w:hAnsi="Times New Roman"/>
          <w:b/>
          <w:i/>
          <w:sz w:val="24"/>
          <w:szCs w:val="24"/>
        </w:rPr>
        <w:t xml:space="preserve">  </w:t>
      </w:r>
      <w:proofErr w:type="gramEnd"/>
      <w:r w:rsidRPr="00797B8F">
        <w:rPr>
          <w:rFonts w:ascii="Times New Roman" w:hAnsi="Times New Roman"/>
          <w:b/>
          <w:i/>
          <w:sz w:val="24"/>
          <w:szCs w:val="24"/>
        </w:rPr>
        <w:t xml:space="preserve">38,1 </w:t>
      </w:r>
      <w:proofErr w:type="spellStart"/>
      <w:r w:rsidRPr="00797B8F">
        <w:rPr>
          <w:rFonts w:ascii="Times New Roman" w:hAnsi="Times New Roman"/>
          <w:b/>
          <w:i/>
          <w:sz w:val="24"/>
          <w:szCs w:val="24"/>
        </w:rPr>
        <w:t>UFMs</w:t>
      </w:r>
      <w:proofErr w:type="spellEnd"/>
      <w:r w:rsidRPr="00797B8F">
        <w:rPr>
          <w:rFonts w:ascii="Times New Roman" w:hAnsi="Times New Roman"/>
          <w:b/>
          <w:i/>
          <w:sz w:val="24"/>
          <w:szCs w:val="24"/>
        </w:rPr>
        <w:t xml:space="preserve">  (Unidade Fiscal do Município)”.</w:t>
      </w:r>
    </w:p>
    <w:p w:rsidR="00797B8F" w:rsidRPr="00797B8F" w:rsidRDefault="00797B8F" w:rsidP="00797B8F">
      <w:pPr>
        <w:ind w:firstLine="3118"/>
        <w:jc w:val="both"/>
        <w:rPr>
          <w:rFonts w:ascii="Times New Roman" w:hAnsi="Times New Roman"/>
          <w:sz w:val="24"/>
          <w:szCs w:val="24"/>
        </w:rPr>
      </w:pPr>
      <w:r w:rsidRPr="00797B8F">
        <w:rPr>
          <w:rFonts w:ascii="Times New Roman" w:hAnsi="Times New Roman"/>
          <w:b/>
          <w:sz w:val="24"/>
          <w:szCs w:val="24"/>
        </w:rPr>
        <w:t>Art. 3º –</w:t>
      </w:r>
      <w:r w:rsidRPr="00797B8F">
        <w:rPr>
          <w:rFonts w:ascii="Times New Roman" w:hAnsi="Times New Roman"/>
          <w:sz w:val="24"/>
          <w:szCs w:val="24"/>
        </w:rPr>
        <w:t xml:space="preserve"> Ficam revogadas as disposições em contrário, em especial, o artigo 5</w:t>
      </w:r>
      <w:r w:rsidRPr="00797B8F">
        <w:rPr>
          <w:rFonts w:ascii="Times New Roman" w:hAnsi="Times New Roman"/>
          <w:sz w:val="24"/>
          <w:szCs w:val="24"/>
          <w:vertAlign w:val="superscript"/>
        </w:rPr>
        <w:t>o</w:t>
      </w:r>
      <w:r w:rsidRPr="00797B8F">
        <w:rPr>
          <w:rFonts w:ascii="Times New Roman" w:hAnsi="Times New Roman"/>
          <w:sz w:val="24"/>
          <w:szCs w:val="24"/>
        </w:rPr>
        <w:t xml:space="preserve">, com </w:t>
      </w:r>
      <w:proofErr w:type="gramStart"/>
      <w:r w:rsidRPr="00797B8F">
        <w:rPr>
          <w:rFonts w:ascii="Times New Roman" w:hAnsi="Times New Roman"/>
          <w:sz w:val="24"/>
          <w:szCs w:val="24"/>
        </w:rPr>
        <w:t>seu parágrafo único e incisos, da Lei</w:t>
      </w:r>
      <w:proofErr w:type="gramEnd"/>
      <w:r w:rsidRPr="00797B8F">
        <w:rPr>
          <w:rFonts w:ascii="Times New Roman" w:hAnsi="Times New Roman"/>
          <w:sz w:val="24"/>
          <w:szCs w:val="24"/>
        </w:rPr>
        <w:t xml:space="preserve"> </w:t>
      </w:r>
      <w:r w:rsidRPr="00797B8F">
        <w:rPr>
          <w:rFonts w:ascii="Times New Roman" w:hAnsi="Times New Roman"/>
          <w:bCs/>
          <w:sz w:val="24"/>
          <w:szCs w:val="24"/>
        </w:rPr>
        <w:t>nº 2.366/1989 de 28/09/1989, o art. 235 da Lei 1086/1971.</w:t>
      </w:r>
      <w:r w:rsidRPr="00797B8F">
        <w:rPr>
          <w:rFonts w:ascii="Times New Roman" w:hAnsi="Times New Roman"/>
          <w:bCs/>
          <w:sz w:val="24"/>
          <w:szCs w:val="24"/>
          <w:highlight w:val="yellow"/>
        </w:rPr>
        <w:t xml:space="preserve"> </w:t>
      </w:r>
    </w:p>
    <w:p w:rsidR="00422FAC" w:rsidRPr="00422FAC" w:rsidRDefault="00797B8F" w:rsidP="00797B8F">
      <w:pPr>
        <w:pStyle w:val="Corpodotexto"/>
        <w:tabs>
          <w:tab w:val="center" w:pos="165"/>
          <w:tab w:val="right" w:pos="4584"/>
        </w:tabs>
        <w:ind w:firstLine="3118"/>
        <w:rPr>
          <w:sz w:val="24"/>
          <w:szCs w:val="24"/>
        </w:rPr>
      </w:pPr>
      <w:r w:rsidRPr="00797B8F">
        <w:rPr>
          <w:b/>
          <w:sz w:val="24"/>
          <w:szCs w:val="24"/>
        </w:rPr>
        <w:t>Art. 4º -</w:t>
      </w:r>
      <w:r w:rsidRPr="00797B8F">
        <w:rPr>
          <w:sz w:val="24"/>
          <w:szCs w:val="24"/>
        </w:rPr>
        <w:t xml:space="preserve"> Esta Lei entra em vigor na data da sua publicação, com seus efeitos sobre as obrigações principais, vigorando conforme o disposto na Constituição Federal, em especial, o disposto do seu artigo 150.</w:t>
      </w:r>
      <w:r w:rsidR="00F6188D" w:rsidRPr="00484A7D">
        <w:rPr>
          <w:sz w:val="24"/>
          <w:szCs w:val="24"/>
        </w:rPr>
        <w:t xml:space="preserve"> </w:t>
      </w:r>
      <w:r w:rsidR="00422FAC" w:rsidRPr="00422FAC">
        <w:rPr>
          <w:sz w:val="24"/>
          <w:szCs w:val="24"/>
        </w:rPr>
        <w:t xml:space="preserve"> </w:t>
      </w:r>
    </w:p>
    <w:p w:rsidR="00422FAC" w:rsidRPr="00422FAC" w:rsidRDefault="00422FAC" w:rsidP="00422FAC">
      <w:pPr>
        <w:pStyle w:val="Corpodotexto"/>
        <w:tabs>
          <w:tab w:val="center" w:pos="165"/>
          <w:tab w:val="right" w:pos="4584"/>
        </w:tabs>
        <w:ind w:firstLine="3118"/>
        <w:rPr>
          <w:sz w:val="24"/>
          <w:szCs w:val="24"/>
        </w:rPr>
      </w:pPr>
    </w:p>
    <w:p w:rsidR="00422FAC" w:rsidRPr="00422FAC" w:rsidRDefault="00422FAC" w:rsidP="00422FAC">
      <w:pPr>
        <w:pStyle w:val="Corpodotexto"/>
        <w:tabs>
          <w:tab w:val="center" w:pos="165"/>
          <w:tab w:val="right" w:pos="4584"/>
        </w:tabs>
        <w:ind w:firstLine="3118"/>
        <w:rPr>
          <w:b/>
          <w:sz w:val="24"/>
          <w:szCs w:val="24"/>
        </w:rPr>
      </w:pPr>
    </w:p>
    <w:p w:rsidR="00422FAC" w:rsidRDefault="0059584B" w:rsidP="00422FAC">
      <w:pPr>
        <w:pStyle w:val="Corpodotexto"/>
        <w:tabs>
          <w:tab w:val="center" w:pos="165"/>
          <w:tab w:val="right" w:pos="4584"/>
        </w:tabs>
        <w:jc w:val="center"/>
        <w:rPr>
          <w:sz w:val="24"/>
          <w:szCs w:val="24"/>
        </w:rPr>
      </w:pPr>
      <w:r>
        <w:rPr>
          <w:sz w:val="24"/>
          <w:szCs w:val="24"/>
        </w:rPr>
        <w:t>Prefeitura</w:t>
      </w:r>
      <w:r w:rsidR="00422FAC">
        <w:rPr>
          <w:sz w:val="24"/>
          <w:szCs w:val="24"/>
        </w:rPr>
        <w:t xml:space="preserve"> Municipal de Pouso Alegre</w:t>
      </w:r>
      <w:r w:rsidR="00422FAC" w:rsidRPr="00422FAC">
        <w:rPr>
          <w:sz w:val="24"/>
          <w:szCs w:val="24"/>
        </w:rPr>
        <w:t xml:space="preserve">, </w:t>
      </w:r>
      <w:r w:rsidR="00422FAC">
        <w:rPr>
          <w:sz w:val="24"/>
          <w:szCs w:val="24"/>
        </w:rPr>
        <w:t>2</w:t>
      </w:r>
      <w:r w:rsidR="00422FAC" w:rsidRPr="00422FAC">
        <w:rPr>
          <w:sz w:val="24"/>
          <w:szCs w:val="24"/>
        </w:rPr>
        <w:t xml:space="preserve">0 </w:t>
      </w:r>
      <w:r w:rsidR="00422FAC">
        <w:rPr>
          <w:sz w:val="24"/>
          <w:szCs w:val="24"/>
        </w:rPr>
        <w:t>de dezembro de</w:t>
      </w:r>
      <w:r w:rsidR="00422FAC" w:rsidRPr="00422FAC">
        <w:rPr>
          <w:sz w:val="24"/>
          <w:szCs w:val="24"/>
        </w:rPr>
        <w:t xml:space="preserve"> 2013.</w:t>
      </w:r>
    </w:p>
    <w:p w:rsidR="00422FAC" w:rsidRDefault="00422FAC" w:rsidP="00422FAC">
      <w:pPr>
        <w:pStyle w:val="Corpodotexto"/>
        <w:tabs>
          <w:tab w:val="center" w:pos="165"/>
          <w:tab w:val="right" w:pos="4584"/>
        </w:tabs>
        <w:jc w:val="center"/>
        <w:rPr>
          <w:sz w:val="24"/>
          <w:szCs w:val="24"/>
        </w:rPr>
      </w:pPr>
    </w:p>
    <w:p w:rsidR="00422FAC" w:rsidRDefault="00422FAC" w:rsidP="00422FAC">
      <w:pPr>
        <w:pStyle w:val="Corpodotexto"/>
        <w:tabs>
          <w:tab w:val="center" w:pos="165"/>
          <w:tab w:val="right" w:pos="4584"/>
        </w:tabs>
        <w:jc w:val="center"/>
        <w:rPr>
          <w:sz w:val="24"/>
          <w:szCs w:val="24"/>
        </w:rPr>
      </w:pPr>
    </w:p>
    <w:p w:rsidR="00422FAC" w:rsidRDefault="00422FAC" w:rsidP="00422FAC">
      <w:pPr>
        <w:pStyle w:val="Corpodotexto"/>
        <w:tabs>
          <w:tab w:val="center" w:pos="165"/>
          <w:tab w:val="right" w:pos="4584"/>
        </w:tabs>
        <w:jc w:val="center"/>
        <w:rPr>
          <w:sz w:val="24"/>
          <w:szCs w:val="24"/>
        </w:rPr>
      </w:pPr>
    </w:p>
    <w:p w:rsidR="00422FAC" w:rsidRDefault="0059584B" w:rsidP="00422FAC">
      <w:pPr>
        <w:pStyle w:val="Corpodotexto"/>
        <w:tabs>
          <w:tab w:val="center" w:pos="165"/>
          <w:tab w:val="right" w:pos="4584"/>
        </w:tabs>
        <w:jc w:val="center"/>
        <w:rPr>
          <w:sz w:val="24"/>
          <w:szCs w:val="24"/>
        </w:rPr>
      </w:pPr>
      <w:r>
        <w:rPr>
          <w:sz w:val="24"/>
          <w:szCs w:val="24"/>
        </w:rPr>
        <w:t xml:space="preserve">Agnaldo </w:t>
      </w:r>
      <w:proofErr w:type="spellStart"/>
      <w:r>
        <w:rPr>
          <w:sz w:val="24"/>
          <w:szCs w:val="24"/>
        </w:rPr>
        <w:t>Perugini</w:t>
      </w:r>
      <w:proofErr w:type="spellEnd"/>
      <w:r w:rsidR="00422FAC">
        <w:rPr>
          <w:sz w:val="24"/>
          <w:szCs w:val="24"/>
        </w:rPr>
        <w:tab/>
      </w:r>
      <w:r>
        <w:rPr>
          <w:sz w:val="24"/>
          <w:szCs w:val="24"/>
        </w:rPr>
        <w:t>Márcio José Faria</w:t>
      </w:r>
    </w:p>
    <w:p w:rsidR="00422FAC" w:rsidRPr="00422FAC" w:rsidRDefault="0059584B" w:rsidP="00422FAC">
      <w:pPr>
        <w:pStyle w:val="Corpodotexto"/>
        <w:tabs>
          <w:tab w:val="center" w:pos="165"/>
          <w:tab w:val="right" w:pos="4584"/>
        </w:tabs>
        <w:jc w:val="center"/>
        <w:rPr>
          <w:sz w:val="24"/>
          <w:szCs w:val="24"/>
        </w:rPr>
      </w:pPr>
      <w:r>
        <w:rPr>
          <w:sz w:val="24"/>
          <w:szCs w:val="24"/>
        </w:rPr>
        <w:t>Prefeito Municipal</w:t>
      </w:r>
      <w:r w:rsidR="00422FAC">
        <w:rPr>
          <w:sz w:val="24"/>
          <w:szCs w:val="24"/>
        </w:rPr>
        <w:tab/>
      </w:r>
      <w:r>
        <w:rPr>
          <w:sz w:val="24"/>
          <w:szCs w:val="24"/>
        </w:rPr>
        <w:t>Chefe de Gabinete</w:t>
      </w:r>
    </w:p>
    <w:p w:rsidR="00422FAC" w:rsidRDefault="00422FAC" w:rsidP="00422FAC">
      <w:pPr>
        <w:pStyle w:val="Corpodotexto"/>
        <w:tabs>
          <w:tab w:val="center" w:pos="165"/>
          <w:tab w:val="right" w:pos="4584"/>
        </w:tabs>
        <w:ind w:firstLine="3118"/>
        <w:rPr>
          <w:b/>
          <w:sz w:val="24"/>
          <w:szCs w:val="24"/>
        </w:rPr>
      </w:pPr>
    </w:p>
    <w:p w:rsidR="00422FAC" w:rsidRDefault="00422FAC" w:rsidP="00422FAC">
      <w:pPr>
        <w:pStyle w:val="Corpodotexto"/>
        <w:tabs>
          <w:tab w:val="center" w:pos="165"/>
          <w:tab w:val="right" w:pos="4584"/>
        </w:tabs>
        <w:jc w:val="left"/>
        <w:rPr>
          <w:b/>
          <w:sz w:val="24"/>
          <w:szCs w:val="24"/>
        </w:rPr>
      </w:pPr>
    </w:p>
    <w:p w:rsidR="00422FAC" w:rsidRDefault="00422FAC" w:rsidP="00422FAC">
      <w:pPr>
        <w:pStyle w:val="Corpodotexto"/>
        <w:tabs>
          <w:tab w:val="center" w:pos="165"/>
          <w:tab w:val="right" w:pos="4584"/>
        </w:tabs>
        <w:jc w:val="left"/>
        <w:rPr>
          <w:b/>
          <w:bCs/>
          <w:sz w:val="20"/>
        </w:rPr>
      </w:pPr>
    </w:p>
    <w:p w:rsidR="00F6188D" w:rsidRDefault="00F6188D" w:rsidP="00422FAC">
      <w:pPr>
        <w:pStyle w:val="Corpodotexto"/>
        <w:tabs>
          <w:tab w:val="center" w:pos="165"/>
          <w:tab w:val="right" w:pos="4584"/>
        </w:tabs>
        <w:jc w:val="left"/>
        <w:rPr>
          <w:b/>
          <w:bCs/>
          <w:sz w:val="20"/>
        </w:rPr>
      </w:pPr>
    </w:p>
    <w:p w:rsidR="00F6188D" w:rsidRDefault="00F6188D" w:rsidP="00422FAC">
      <w:pPr>
        <w:pStyle w:val="Corpodotexto"/>
        <w:tabs>
          <w:tab w:val="center" w:pos="165"/>
          <w:tab w:val="right" w:pos="4584"/>
        </w:tabs>
        <w:jc w:val="left"/>
        <w:rPr>
          <w:b/>
          <w:bCs/>
          <w:sz w:val="20"/>
        </w:rPr>
      </w:pPr>
    </w:p>
    <w:sectPr w:rsidR="00F6188D" w:rsidSect="00422FAC">
      <w:pgSz w:w="11906" w:h="16838"/>
      <w:pgMar w:top="2552"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lowerLetter"/>
      <w:lvlText w:val="%1)"/>
      <w:lvlJc w:val="left"/>
      <w:pPr>
        <w:tabs>
          <w:tab w:val="num" w:pos="1080"/>
        </w:tabs>
        <w:ind w:left="1080" w:hanging="360"/>
      </w:pPr>
    </w:lvl>
  </w:abstractNum>
  <w:abstractNum w:abstractNumId="1">
    <w:nsid w:val="16C544B3"/>
    <w:multiLevelType w:val="hybridMultilevel"/>
    <w:tmpl w:val="919A31EA"/>
    <w:name w:val="WW8Num22"/>
    <w:lvl w:ilvl="0" w:tplc="FB184EF2">
      <w:start w:val="1"/>
      <w:numFmt w:val="lowerLetter"/>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lvlOverride w:ilvl="0">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compat/>
  <w:rsids>
    <w:rsidRoot w:val="00422FAC"/>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ED5"/>
    <w:rsid w:val="001010A9"/>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598"/>
    <w:rsid w:val="0011780A"/>
    <w:rsid w:val="00117BAB"/>
    <w:rsid w:val="00120CF3"/>
    <w:rsid w:val="001228E1"/>
    <w:rsid w:val="00122C36"/>
    <w:rsid w:val="00123907"/>
    <w:rsid w:val="00126DD5"/>
    <w:rsid w:val="00127C7F"/>
    <w:rsid w:val="00130673"/>
    <w:rsid w:val="00130F6D"/>
    <w:rsid w:val="001311B8"/>
    <w:rsid w:val="001321DC"/>
    <w:rsid w:val="00133897"/>
    <w:rsid w:val="00133B2C"/>
    <w:rsid w:val="00133C68"/>
    <w:rsid w:val="00134EB4"/>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E5B"/>
    <w:rsid w:val="00192649"/>
    <w:rsid w:val="00193057"/>
    <w:rsid w:val="00193093"/>
    <w:rsid w:val="00195374"/>
    <w:rsid w:val="0019569D"/>
    <w:rsid w:val="0019572A"/>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3981"/>
    <w:rsid w:val="001D3993"/>
    <w:rsid w:val="001D39C8"/>
    <w:rsid w:val="001D3B08"/>
    <w:rsid w:val="001D4AD1"/>
    <w:rsid w:val="001D4E4D"/>
    <w:rsid w:val="001D50D0"/>
    <w:rsid w:val="001D6E6E"/>
    <w:rsid w:val="001D7822"/>
    <w:rsid w:val="001E0F85"/>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4913"/>
    <w:rsid w:val="00204EC5"/>
    <w:rsid w:val="00205E20"/>
    <w:rsid w:val="002076A3"/>
    <w:rsid w:val="002078E1"/>
    <w:rsid w:val="00210B53"/>
    <w:rsid w:val="0021130A"/>
    <w:rsid w:val="00212781"/>
    <w:rsid w:val="00212DD1"/>
    <w:rsid w:val="00212ED2"/>
    <w:rsid w:val="00213968"/>
    <w:rsid w:val="00213C69"/>
    <w:rsid w:val="0021417E"/>
    <w:rsid w:val="0021529D"/>
    <w:rsid w:val="00216086"/>
    <w:rsid w:val="0021695D"/>
    <w:rsid w:val="00217E64"/>
    <w:rsid w:val="002216B1"/>
    <w:rsid w:val="00221ABB"/>
    <w:rsid w:val="00221F3D"/>
    <w:rsid w:val="0022336D"/>
    <w:rsid w:val="00223AF5"/>
    <w:rsid w:val="002247B0"/>
    <w:rsid w:val="00225ACA"/>
    <w:rsid w:val="00225D5A"/>
    <w:rsid w:val="00226132"/>
    <w:rsid w:val="0022613B"/>
    <w:rsid w:val="0022657C"/>
    <w:rsid w:val="00227B39"/>
    <w:rsid w:val="00230C75"/>
    <w:rsid w:val="00231E54"/>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4653"/>
    <w:rsid w:val="00264D12"/>
    <w:rsid w:val="00265A84"/>
    <w:rsid w:val="00265D47"/>
    <w:rsid w:val="0026705E"/>
    <w:rsid w:val="00267763"/>
    <w:rsid w:val="002717E1"/>
    <w:rsid w:val="002725F5"/>
    <w:rsid w:val="00272AC5"/>
    <w:rsid w:val="002730F4"/>
    <w:rsid w:val="002744B3"/>
    <w:rsid w:val="00274D50"/>
    <w:rsid w:val="0027621A"/>
    <w:rsid w:val="002764B0"/>
    <w:rsid w:val="00276EF4"/>
    <w:rsid w:val="00276FBA"/>
    <w:rsid w:val="00277132"/>
    <w:rsid w:val="0027745B"/>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6FA1"/>
    <w:rsid w:val="002A005F"/>
    <w:rsid w:val="002A119C"/>
    <w:rsid w:val="002A178B"/>
    <w:rsid w:val="002A271B"/>
    <w:rsid w:val="002A2CEC"/>
    <w:rsid w:val="002A3149"/>
    <w:rsid w:val="002A3348"/>
    <w:rsid w:val="002A391F"/>
    <w:rsid w:val="002A44F6"/>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218E"/>
    <w:rsid w:val="00324683"/>
    <w:rsid w:val="0032503F"/>
    <w:rsid w:val="00325125"/>
    <w:rsid w:val="00325E55"/>
    <w:rsid w:val="003307C6"/>
    <w:rsid w:val="003313C0"/>
    <w:rsid w:val="00332084"/>
    <w:rsid w:val="003324B9"/>
    <w:rsid w:val="00332A2B"/>
    <w:rsid w:val="003334CB"/>
    <w:rsid w:val="00333761"/>
    <w:rsid w:val="00334B21"/>
    <w:rsid w:val="00334F2F"/>
    <w:rsid w:val="0033616B"/>
    <w:rsid w:val="0033626D"/>
    <w:rsid w:val="00337A94"/>
    <w:rsid w:val="00340440"/>
    <w:rsid w:val="00342F1F"/>
    <w:rsid w:val="00344921"/>
    <w:rsid w:val="00345515"/>
    <w:rsid w:val="00346767"/>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8BD"/>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2FAC"/>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20E7"/>
    <w:rsid w:val="00483321"/>
    <w:rsid w:val="0048410F"/>
    <w:rsid w:val="00484A7D"/>
    <w:rsid w:val="00485164"/>
    <w:rsid w:val="004858D1"/>
    <w:rsid w:val="00485A21"/>
    <w:rsid w:val="0048667D"/>
    <w:rsid w:val="00486BFD"/>
    <w:rsid w:val="00486F24"/>
    <w:rsid w:val="00486F27"/>
    <w:rsid w:val="004871AD"/>
    <w:rsid w:val="0048778B"/>
    <w:rsid w:val="00490476"/>
    <w:rsid w:val="0049069D"/>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5A31"/>
    <w:rsid w:val="004E5F79"/>
    <w:rsid w:val="004E60D4"/>
    <w:rsid w:val="004E76FC"/>
    <w:rsid w:val="004E7EC2"/>
    <w:rsid w:val="004F2CDC"/>
    <w:rsid w:val="004F30AD"/>
    <w:rsid w:val="004F393D"/>
    <w:rsid w:val="004F4EB0"/>
    <w:rsid w:val="004F59E4"/>
    <w:rsid w:val="004F5B41"/>
    <w:rsid w:val="004F6FEF"/>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40A3C"/>
    <w:rsid w:val="00540A41"/>
    <w:rsid w:val="005418DC"/>
    <w:rsid w:val="00542B9D"/>
    <w:rsid w:val="005435E5"/>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D35"/>
    <w:rsid w:val="00584DAE"/>
    <w:rsid w:val="005853B3"/>
    <w:rsid w:val="00585863"/>
    <w:rsid w:val="00587CE1"/>
    <w:rsid w:val="00590FD0"/>
    <w:rsid w:val="0059186E"/>
    <w:rsid w:val="0059195B"/>
    <w:rsid w:val="00591CB1"/>
    <w:rsid w:val="00593046"/>
    <w:rsid w:val="00593FC0"/>
    <w:rsid w:val="00595205"/>
    <w:rsid w:val="005952CA"/>
    <w:rsid w:val="0059584B"/>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C13C6"/>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2BB"/>
    <w:rsid w:val="006A26D1"/>
    <w:rsid w:val="006A329D"/>
    <w:rsid w:val="006A352B"/>
    <w:rsid w:val="006A396B"/>
    <w:rsid w:val="006A4009"/>
    <w:rsid w:val="006A416F"/>
    <w:rsid w:val="006A4BF8"/>
    <w:rsid w:val="006A4F14"/>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685"/>
    <w:rsid w:val="006C5F90"/>
    <w:rsid w:val="006C6893"/>
    <w:rsid w:val="006C7BAF"/>
    <w:rsid w:val="006D10CD"/>
    <w:rsid w:val="006D2F1E"/>
    <w:rsid w:val="006D3E78"/>
    <w:rsid w:val="006D420B"/>
    <w:rsid w:val="006D4617"/>
    <w:rsid w:val="006D5DFD"/>
    <w:rsid w:val="006D778B"/>
    <w:rsid w:val="006D784F"/>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6BC"/>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97B8F"/>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BF0"/>
    <w:rsid w:val="007B5DFF"/>
    <w:rsid w:val="007B6662"/>
    <w:rsid w:val="007B6D8F"/>
    <w:rsid w:val="007B7C15"/>
    <w:rsid w:val="007B7D59"/>
    <w:rsid w:val="007C061F"/>
    <w:rsid w:val="007C13BE"/>
    <w:rsid w:val="007C21C3"/>
    <w:rsid w:val="007C228D"/>
    <w:rsid w:val="007C2C61"/>
    <w:rsid w:val="007C34E0"/>
    <w:rsid w:val="007C3A15"/>
    <w:rsid w:val="007C5A2A"/>
    <w:rsid w:val="007C6488"/>
    <w:rsid w:val="007C688A"/>
    <w:rsid w:val="007C6E83"/>
    <w:rsid w:val="007C6F4D"/>
    <w:rsid w:val="007D184B"/>
    <w:rsid w:val="007D191A"/>
    <w:rsid w:val="007D2058"/>
    <w:rsid w:val="007D38D2"/>
    <w:rsid w:val="007D46A0"/>
    <w:rsid w:val="007D53DE"/>
    <w:rsid w:val="007D58DC"/>
    <w:rsid w:val="007D5C35"/>
    <w:rsid w:val="007D64B6"/>
    <w:rsid w:val="007D66B0"/>
    <w:rsid w:val="007D7F74"/>
    <w:rsid w:val="007E02E8"/>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58F"/>
    <w:rsid w:val="00816665"/>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96E"/>
    <w:rsid w:val="00852BD6"/>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351F"/>
    <w:rsid w:val="00884607"/>
    <w:rsid w:val="00884ABD"/>
    <w:rsid w:val="00884E6A"/>
    <w:rsid w:val="0088507F"/>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2EA"/>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9"/>
    <w:rsid w:val="00951877"/>
    <w:rsid w:val="009519F9"/>
    <w:rsid w:val="00951D33"/>
    <w:rsid w:val="00951E55"/>
    <w:rsid w:val="0095344E"/>
    <w:rsid w:val="00953707"/>
    <w:rsid w:val="00954ED9"/>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69F"/>
    <w:rsid w:val="009E3868"/>
    <w:rsid w:val="009E508E"/>
    <w:rsid w:val="009E5651"/>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4A41"/>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695"/>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58F6"/>
    <w:rsid w:val="00C266F5"/>
    <w:rsid w:val="00C26AAB"/>
    <w:rsid w:val="00C27175"/>
    <w:rsid w:val="00C27A6B"/>
    <w:rsid w:val="00C30082"/>
    <w:rsid w:val="00C316C8"/>
    <w:rsid w:val="00C31984"/>
    <w:rsid w:val="00C31B23"/>
    <w:rsid w:val="00C31E40"/>
    <w:rsid w:val="00C32307"/>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5F7E"/>
    <w:rsid w:val="00C663A7"/>
    <w:rsid w:val="00C67341"/>
    <w:rsid w:val="00C70029"/>
    <w:rsid w:val="00C70992"/>
    <w:rsid w:val="00C724A4"/>
    <w:rsid w:val="00C72DEC"/>
    <w:rsid w:val="00C7487C"/>
    <w:rsid w:val="00C74D6A"/>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BF1"/>
    <w:rsid w:val="00CA4EAD"/>
    <w:rsid w:val="00CA567F"/>
    <w:rsid w:val="00CA5800"/>
    <w:rsid w:val="00CA5980"/>
    <w:rsid w:val="00CA5E69"/>
    <w:rsid w:val="00CA5F98"/>
    <w:rsid w:val="00CA630C"/>
    <w:rsid w:val="00CA6373"/>
    <w:rsid w:val="00CA73C8"/>
    <w:rsid w:val="00CA756B"/>
    <w:rsid w:val="00CB000D"/>
    <w:rsid w:val="00CB0927"/>
    <w:rsid w:val="00CB0DC0"/>
    <w:rsid w:val="00CB1059"/>
    <w:rsid w:val="00CB25D9"/>
    <w:rsid w:val="00CB4D78"/>
    <w:rsid w:val="00CB4EAD"/>
    <w:rsid w:val="00CB5654"/>
    <w:rsid w:val="00CB5B73"/>
    <w:rsid w:val="00CB71FD"/>
    <w:rsid w:val="00CB745D"/>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79D5"/>
    <w:rsid w:val="00D07B1F"/>
    <w:rsid w:val="00D100C5"/>
    <w:rsid w:val="00D1053F"/>
    <w:rsid w:val="00D1077D"/>
    <w:rsid w:val="00D128F7"/>
    <w:rsid w:val="00D13267"/>
    <w:rsid w:val="00D1359E"/>
    <w:rsid w:val="00D13E27"/>
    <w:rsid w:val="00D164CD"/>
    <w:rsid w:val="00D1718A"/>
    <w:rsid w:val="00D171E3"/>
    <w:rsid w:val="00D17F5F"/>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79E"/>
    <w:rsid w:val="00DF1EC2"/>
    <w:rsid w:val="00DF319D"/>
    <w:rsid w:val="00DF3EFB"/>
    <w:rsid w:val="00DF406C"/>
    <w:rsid w:val="00DF425D"/>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E0D"/>
    <w:rsid w:val="00E06784"/>
    <w:rsid w:val="00E06F27"/>
    <w:rsid w:val="00E10371"/>
    <w:rsid w:val="00E11CF6"/>
    <w:rsid w:val="00E11E64"/>
    <w:rsid w:val="00E12023"/>
    <w:rsid w:val="00E122E2"/>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5B3C"/>
    <w:rsid w:val="00E46F4E"/>
    <w:rsid w:val="00E46FA3"/>
    <w:rsid w:val="00E4712D"/>
    <w:rsid w:val="00E472E2"/>
    <w:rsid w:val="00E50BC0"/>
    <w:rsid w:val="00E51143"/>
    <w:rsid w:val="00E513DB"/>
    <w:rsid w:val="00E5177F"/>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2250"/>
    <w:rsid w:val="00E635DA"/>
    <w:rsid w:val="00E63708"/>
    <w:rsid w:val="00E63BA5"/>
    <w:rsid w:val="00E63E73"/>
    <w:rsid w:val="00E63EFF"/>
    <w:rsid w:val="00E64275"/>
    <w:rsid w:val="00E67481"/>
    <w:rsid w:val="00E67806"/>
    <w:rsid w:val="00E67ED5"/>
    <w:rsid w:val="00E7078A"/>
    <w:rsid w:val="00E70E58"/>
    <w:rsid w:val="00E71BF0"/>
    <w:rsid w:val="00E71CB1"/>
    <w:rsid w:val="00E72D0E"/>
    <w:rsid w:val="00E72F1C"/>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D07DD"/>
    <w:rsid w:val="00ED0880"/>
    <w:rsid w:val="00ED1FDC"/>
    <w:rsid w:val="00ED20C8"/>
    <w:rsid w:val="00ED213F"/>
    <w:rsid w:val="00ED248D"/>
    <w:rsid w:val="00ED24A1"/>
    <w:rsid w:val="00ED285D"/>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F012E1"/>
    <w:rsid w:val="00F02BA6"/>
    <w:rsid w:val="00F0364C"/>
    <w:rsid w:val="00F039CB"/>
    <w:rsid w:val="00F04D63"/>
    <w:rsid w:val="00F04F51"/>
    <w:rsid w:val="00F0541D"/>
    <w:rsid w:val="00F05535"/>
    <w:rsid w:val="00F05B96"/>
    <w:rsid w:val="00F05F80"/>
    <w:rsid w:val="00F067DE"/>
    <w:rsid w:val="00F06FB2"/>
    <w:rsid w:val="00F10130"/>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D8A"/>
    <w:rsid w:val="00F26204"/>
    <w:rsid w:val="00F30A09"/>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188D"/>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D9F"/>
    <w:rsid w:val="00FD3204"/>
    <w:rsid w:val="00FD4957"/>
    <w:rsid w:val="00FD5001"/>
    <w:rsid w:val="00FD5019"/>
    <w:rsid w:val="00FD52BA"/>
    <w:rsid w:val="00FD5C02"/>
    <w:rsid w:val="00FD7A2D"/>
    <w:rsid w:val="00FD7C43"/>
    <w:rsid w:val="00FE03B8"/>
    <w:rsid w:val="00FE0C32"/>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FAC"/>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otexto">
    <w:name w:val="Corpo do texto"/>
    <w:basedOn w:val="Normal"/>
    <w:rsid w:val="00422FAC"/>
    <w:pPr>
      <w:spacing w:after="0" w:line="240" w:lineRule="auto"/>
      <w:jc w:val="both"/>
    </w:pPr>
    <w:rPr>
      <w:rFonts w:ascii="Times New Roman" w:eastAsia="Times New Roman" w:hAnsi="Times New Roman"/>
      <w:snapToGrid w:val="0"/>
      <w:sz w:val="28"/>
      <w:szCs w:val="20"/>
      <w:lang w:eastAsia="pt-BR"/>
    </w:rPr>
  </w:style>
  <w:style w:type="paragraph" w:styleId="Textodebalo">
    <w:name w:val="Balloon Text"/>
    <w:basedOn w:val="Normal"/>
    <w:link w:val="TextodebaloChar"/>
    <w:uiPriority w:val="99"/>
    <w:semiHidden/>
    <w:unhideWhenUsed/>
    <w:rsid w:val="00422FA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22FAC"/>
    <w:rPr>
      <w:rFonts w:ascii="Tahoma" w:eastAsia="Calibri" w:hAnsi="Tahoma" w:cs="Tahoma"/>
      <w:sz w:val="16"/>
      <w:szCs w:val="16"/>
    </w:rPr>
  </w:style>
  <w:style w:type="paragraph" w:styleId="Cabealho">
    <w:name w:val="header"/>
    <w:basedOn w:val="Normal"/>
    <w:link w:val="CabealhoChar"/>
    <w:uiPriority w:val="99"/>
    <w:semiHidden/>
    <w:unhideWhenUsed/>
    <w:rsid w:val="00F6188D"/>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F6188D"/>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7259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1467</Words>
  <Characters>7922</Characters>
  <Application>Microsoft Office Word</Application>
  <DocSecurity>0</DocSecurity>
  <Lines>66</Lines>
  <Paragraphs>18</Paragraphs>
  <ScaleCrop>false</ScaleCrop>
  <Company/>
  <LinksUpToDate>false</LinksUpToDate>
  <CharactersWithSpaces>9371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2014-01-16T15:30:00Z</dcterms:created>
  <dcterms:modified xsi:type="dcterms:W3CDTF">2014-01-16T15:30:00Z</dcterms:modified>
</cp:coreProperties>
</file>