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47" w:rsidRPr="00420D47" w:rsidRDefault="00420D47" w:rsidP="00420D47">
      <w:pPr>
        <w:ind w:left="3118"/>
        <w:rPr>
          <w:rFonts w:ascii="Times New Roman" w:hAnsi="Times New Roman"/>
          <w:b/>
          <w:color w:val="000000"/>
          <w:sz w:val="24"/>
          <w:szCs w:val="24"/>
        </w:rPr>
      </w:pPr>
      <w:r w:rsidRPr="00420D47">
        <w:rPr>
          <w:rFonts w:ascii="Times New Roman" w:hAnsi="Times New Roman"/>
          <w:b/>
          <w:color w:val="000000"/>
          <w:sz w:val="24"/>
          <w:szCs w:val="24"/>
        </w:rPr>
        <w:t xml:space="preserve">LEI Nº </w:t>
      </w:r>
      <w:r w:rsidR="00EC25E8">
        <w:rPr>
          <w:rFonts w:ascii="Times New Roman" w:hAnsi="Times New Roman"/>
          <w:b/>
          <w:color w:val="000000"/>
          <w:sz w:val="24"/>
          <w:szCs w:val="24"/>
        </w:rPr>
        <w:t>5503</w:t>
      </w:r>
      <w:r w:rsidRPr="00420D47">
        <w:rPr>
          <w:rFonts w:ascii="Times New Roman" w:hAnsi="Times New Roman"/>
          <w:b/>
          <w:color w:val="000000"/>
          <w:sz w:val="24"/>
          <w:szCs w:val="24"/>
        </w:rPr>
        <w:t>/14</w:t>
      </w:r>
    </w:p>
    <w:p w:rsidR="00420D47" w:rsidRDefault="00420D47" w:rsidP="00420D47">
      <w:pPr>
        <w:ind w:left="3118"/>
        <w:jc w:val="both"/>
        <w:rPr>
          <w:rFonts w:ascii="Times New Roman" w:hAnsi="Times New Roman"/>
          <w:b/>
          <w:sz w:val="24"/>
          <w:szCs w:val="24"/>
        </w:rPr>
      </w:pPr>
    </w:p>
    <w:p w:rsidR="00420D47" w:rsidRPr="00420D47" w:rsidRDefault="00420D47" w:rsidP="00420D47">
      <w:pPr>
        <w:ind w:left="3118"/>
        <w:jc w:val="both"/>
        <w:rPr>
          <w:rFonts w:ascii="Times New Roman" w:hAnsi="Times New Roman"/>
          <w:b/>
          <w:sz w:val="24"/>
          <w:szCs w:val="24"/>
        </w:rPr>
      </w:pPr>
      <w:r w:rsidRPr="00420D47">
        <w:rPr>
          <w:rFonts w:ascii="Times New Roman" w:hAnsi="Times New Roman"/>
          <w:b/>
          <w:sz w:val="24"/>
          <w:szCs w:val="24"/>
        </w:rPr>
        <w:t>ESTABELECE AS DIRETRIZES A SEREM OBSERVADAS NA ELABORAÇÃO DA LEI ORÇAMENTÁRIA DO MUNICÍPIO PARA O EXERCÍCIO DE 2015, E DÁ OUTRAS PROVIDÊNCIAS.</w:t>
      </w:r>
    </w:p>
    <w:p w:rsidR="00420D47" w:rsidRPr="00420D47" w:rsidRDefault="00420D47" w:rsidP="00420D47">
      <w:pPr>
        <w:tabs>
          <w:tab w:val="left" w:pos="3119"/>
        </w:tabs>
        <w:rPr>
          <w:rFonts w:ascii="Times New Roman" w:hAnsi="Times New Roman"/>
          <w:b/>
          <w:bCs/>
          <w:sz w:val="20"/>
          <w:szCs w:val="20"/>
        </w:rPr>
      </w:pPr>
      <w:r w:rsidRPr="00420D47">
        <w:rPr>
          <w:rFonts w:ascii="Times New Roman" w:hAnsi="Times New Roman"/>
          <w:b/>
          <w:bCs/>
          <w:sz w:val="24"/>
          <w:szCs w:val="24"/>
        </w:rPr>
        <w:tab/>
      </w:r>
      <w:r w:rsidRPr="00420D47">
        <w:rPr>
          <w:rFonts w:ascii="Times New Roman" w:hAnsi="Times New Roman"/>
          <w:b/>
          <w:bCs/>
          <w:sz w:val="20"/>
          <w:szCs w:val="20"/>
        </w:rPr>
        <w:t>Autor: Poder Executivo</w:t>
      </w:r>
    </w:p>
    <w:p w:rsidR="00420D47" w:rsidRPr="00420D47" w:rsidRDefault="00420D47" w:rsidP="00420D47">
      <w:pPr>
        <w:spacing w:line="283" w:lineRule="auto"/>
        <w:ind w:left="3118"/>
        <w:rPr>
          <w:rFonts w:ascii="Times New Roman" w:hAnsi="Times New Roman"/>
          <w:b/>
          <w:color w:val="000000"/>
          <w:sz w:val="24"/>
          <w:szCs w:val="24"/>
        </w:rPr>
      </w:pP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A Câmara Municipal de Pouso Alegre aprova e o Chefe do Poder Executivo sanciona e promulga a seguinte Lei:</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CAPÍTULO I</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DISPOSIÇÃO PRELIMINAR</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1º</w:t>
      </w:r>
      <w:r w:rsidRPr="00420D47">
        <w:rPr>
          <w:rFonts w:ascii="Times New Roman" w:hAnsi="Times New Roman"/>
          <w:sz w:val="24"/>
          <w:szCs w:val="24"/>
        </w:rPr>
        <w:t xml:space="preserve"> Esta Lei estabelece as metas e prioridades da Administração Municipal para o exercício de 2015, orienta a elaboração da respectiva Lei Orçamentária e dispõe sobre as alterações na legislação tributária, observando-se a diretriz estabelecida em lei.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Dispõe esta Lei dentre outras </w:t>
      </w:r>
      <w:proofErr w:type="gramStart"/>
      <w:r w:rsidRPr="00420D47">
        <w:rPr>
          <w:rFonts w:ascii="Times New Roman" w:hAnsi="Times New Roman"/>
          <w:sz w:val="24"/>
          <w:szCs w:val="24"/>
        </w:rPr>
        <w:t>matérias</w:t>
      </w:r>
      <w:proofErr w:type="gramEnd"/>
      <w:r w:rsidRPr="00420D47">
        <w:rPr>
          <w:rFonts w:ascii="Times New Roman" w:hAnsi="Times New Roman"/>
          <w:sz w:val="24"/>
          <w:szCs w:val="24"/>
        </w:rPr>
        <w:t>,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CAPÍTULO II</w:t>
      </w:r>
    </w:p>
    <w:p w:rsidR="00420D47" w:rsidRPr="00420D47" w:rsidRDefault="00420D47" w:rsidP="00420D47">
      <w:pPr>
        <w:jc w:val="center"/>
        <w:rPr>
          <w:rFonts w:ascii="Times New Roman" w:hAnsi="Times New Roman"/>
          <w:sz w:val="24"/>
          <w:szCs w:val="24"/>
        </w:rPr>
      </w:pPr>
      <w:r w:rsidRPr="00420D47">
        <w:rPr>
          <w:rFonts w:ascii="Times New Roman" w:hAnsi="Times New Roman"/>
          <w:b/>
          <w:sz w:val="24"/>
          <w:szCs w:val="24"/>
        </w:rPr>
        <w:t>DAS PRIORIDADES E DAS METAS DA ADMINISTRAÇÃO PÚBLICA MUNICIPAL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2º </w:t>
      </w:r>
      <w:r w:rsidRPr="00420D47">
        <w:rPr>
          <w:rFonts w:ascii="Times New Roman" w:hAnsi="Times New Roman"/>
          <w:sz w:val="24"/>
          <w:szCs w:val="24"/>
        </w:rPr>
        <w:t xml:space="preserve">As metas e prioridades da Administração Municipal para o exercício de 2015, atendidas as despesas que constituem obrigação constitucional ou legal do Município e as de funcionamento dos órgãos e entidades que integram o Orçamento, são as especificadas no Anexo de Metas e Prioridades da Administração Pública, as quais terão precedência na alocação de recursos no projeto de </w:t>
      </w:r>
      <w:r w:rsidRPr="00420D47">
        <w:rPr>
          <w:rFonts w:ascii="Times New Roman" w:hAnsi="Times New Roman"/>
          <w:sz w:val="24"/>
          <w:szCs w:val="24"/>
        </w:rPr>
        <w:lastRenderedPageBreak/>
        <w:t>lei orçamentária para 2015, não se constituindo, todavia, em limite à programação da despesa.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3º</w:t>
      </w:r>
      <w:r w:rsidRPr="00420D47">
        <w:rPr>
          <w:rFonts w:ascii="Times New Roman" w:hAnsi="Times New Roman"/>
          <w:sz w:val="24"/>
          <w:szCs w:val="24"/>
        </w:rPr>
        <w:t xml:space="preserve"> As metas de resultados do Município para o exercício de 2015 são as estabelecidas através das Metas Anuais, Metas Fiscais, Anexo de Riscos </w:t>
      </w:r>
      <w:proofErr w:type="gramStart"/>
      <w:r w:rsidRPr="00420D47">
        <w:rPr>
          <w:rFonts w:ascii="Times New Roman" w:hAnsi="Times New Roman"/>
          <w:sz w:val="24"/>
          <w:szCs w:val="24"/>
        </w:rPr>
        <w:t>Fiscais e Anexo de Metas e Prioridades da Administração Pública, integrantes desta Lei, desdobrados</w:t>
      </w:r>
      <w:proofErr w:type="gramEnd"/>
      <w:r w:rsidRPr="00420D47">
        <w:rPr>
          <w:rFonts w:ascii="Times New Roman" w:hAnsi="Times New Roman"/>
          <w:sz w:val="24"/>
          <w:szCs w:val="24"/>
        </w:rPr>
        <w:t xml:space="preserve"> em:</w:t>
      </w:r>
    </w:p>
    <w:p w:rsidR="00420D47" w:rsidRPr="00420D47" w:rsidRDefault="00420D47" w:rsidP="00420D47">
      <w:pPr>
        <w:ind w:firstLine="3118"/>
        <w:jc w:val="both"/>
        <w:rPr>
          <w:rFonts w:ascii="Times New Roman" w:hAnsi="Times New Roman"/>
          <w:b/>
          <w:sz w:val="24"/>
          <w:szCs w:val="24"/>
        </w:rPr>
      </w:pPr>
      <w:r w:rsidRPr="00420D47">
        <w:rPr>
          <w:rFonts w:ascii="Times New Roman" w:hAnsi="Times New Roman"/>
          <w:b/>
          <w:sz w:val="24"/>
          <w:szCs w:val="24"/>
        </w:rPr>
        <w:t>Metas Anuais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 Anexo I – Receitas;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Anexo II – Despesas;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III. Anexo III – Resultado Primário;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IV. Anexo IV – Resultado Nominal;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V. Anexo V – Montante da Dívida Pública.</w:t>
      </w:r>
    </w:p>
    <w:p w:rsidR="00420D47" w:rsidRPr="00420D47" w:rsidRDefault="00420D47" w:rsidP="00420D47">
      <w:pPr>
        <w:ind w:firstLine="3118"/>
        <w:jc w:val="both"/>
        <w:rPr>
          <w:rFonts w:ascii="Times New Roman" w:hAnsi="Times New Roman"/>
          <w:b/>
          <w:sz w:val="24"/>
          <w:szCs w:val="24"/>
        </w:rPr>
      </w:pPr>
      <w:r w:rsidRPr="00420D47">
        <w:rPr>
          <w:rFonts w:ascii="Times New Roman" w:hAnsi="Times New Roman"/>
          <w:b/>
          <w:sz w:val="24"/>
          <w:szCs w:val="24"/>
        </w:rPr>
        <w:t>Metas Fiscais</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I. Anexo I – Metas Anuais;</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II. Anexo II – Avaliação do Cumprimento das Metas Fiscais do Exercício Anterior;</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 xml:space="preserve">III. Anexo III – Metas Fiscais Atuais Comparadas com as Fixadas </w:t>
      </w:r>
      <w:proofErr w:type="gramStart"/>
      <w:r w:rsidRPr="00420D47">
        <w:rPr>
          <w:rFonts w:ascii="Times New Roman" w:hAnsi="Times New Roman"/>
          <w:sz w:val="24"/>
          <w:szCs w:val="24"/>
        </w:rPr>
        <w:t>no três</w:t>
      </w:r>
      <w:proofErr w:type="gramEnd"/>
      <w:r w:rsidRPr="00420D47">
        <w:rPr>
          <w:rFonts w:ascii="Times New Roman" w:hAnsi="Times New Roman"/>
          <w:sz w:val="24"/>
          <w:szCs w:val="24"/>
        </w:rPr>
        <w:t xml:space="preserve"> Exercícios Anteriores;</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IV. Anexo IV – Evolução do Patrimônio Líquido;</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V. Anexo V – Origem e Aplicação dos Recursos Obtidos com a Alienação de Ativos;</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 xml:space="preserve">VI. </w:t>
      </w:r>
      <w:proofErr w:type="gramStart"/>
      <w:r w:rsidRPr="00420D47">
        <w:rPr>
          <w:rFonts w:ascii="Times New Roman" w:hAnsi="Times New Roman"/>
          <w:sz w:val="24"/>
          <w:szCs w:val="24"/>
        </w:rPr>
        <w:t>Anexo VI</w:t>
      </w:r>
      <w:proofErr w:type="gramEnd"/>
      <w:r w:rsidRPr="00420D47">
        <w:rPr>
          <w:rFonts w:ascii="Times New Roman" w:hAnsi="Times New Roman"/>
          <w:sz w:val="24"/>
          <w:szCs w:val="24"/>
        </w:rPr>
        <w:t xml:space="preserve"> – Receitas e Despesas Previdenciárias do RPPS;</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VII. Anexo VII – Estimativa e Compensação de Renúncia de Receita;</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VIII. Anexo VIII – Margem de Expansão das Despesas Obrigatórias de Caráter Continuado;</w:t>
      </w:r>
    </w:p>
    <w:p w:rsidR="00420D47" w:rsidRPr="00420D47" w:rsidRDefault="00420D47" w:rsidP="00420D47">
      <w:pPr>
        <w:ind w:left="3119"/>
        <w:jc w:val="both"/>
        <w:rPr>
          <w:rFonts w:ascii="Times New Roman" w:hAnsi="Times New Roman"/>
          <w:sz w:val="24"/>
          <w:szCs w:val="24"/>
        </w:rPr>
      </w:pPr>
      <w:r w:rsidRPr="00420D47">
        <w:rPr>
          <w:rFonts w:ascii="Times New Roman" w:hAnsi="Times New Roman"/>
          <w:sz w:val="24"/>
          <w:szCs w:val="24"/>
        </w:rPr>
        <w:t>IX. Anexo IX – Projeções Atuariais do Regime de Previdência Própria.</w:t>
      </w:r>
    </w:p>
    <w:p w:rsidR="00420D47" w:rsidRPr="00420D47" w:rsidRDefault="00420D47" w:rsidP="00420D47">
      <w:pPr>
        <w:ind w:firstLine="3118"/>
        <w:jc w:val="both"/>
        <w:rPr>
          <w:rFonts w:ascii="Times New Roman" w:hAnsi="Times New Roman"/>
          <w:sz w:val="24"/>
          <w:szCs w:val="24"/>
        </w:rPr>
      </w:pPr>
    </w:p>
    <w:p w:rsidR="00420D47" w:rsidRPr="00420D47" w:rsidRDefault="00420D47" w:rsidP="00420D47">
      <w:pPr>
        <w:ind w:firstLine="3118"/>
        <w:jc w:val="both"/>
        <w:rPr>
          <w:rFonts w:ascii="Times New Roman" w:hAnsi="Times New Roman"/>
          <w:b/>
          <w:sz w:val="24"/>
          <w:szCs w:val="24"/>
        </w:rPr>
      </w:pPr>
      <w:r w:rsidRPr="00420D47">
        <w:rPr>
          <w:rFonts w:ascii="Times New Roman" w:hAnsi="Times New Roman"/>
          <w:b/>
          <w:sz w:val="24"/>
          <w:szCs w:val="24"/>
        </w:rPr>
        <w:t>Anexo de Riscos Fiscais.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Demonstrativo de Riscos Fiscais e Providências.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Anexo de Metas e Prioridades da Administração Pública.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4º</w:t>
      </w:r>
      <w:r w:rsidRPr="00420D47">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Parágrafo único. </w:t>
      </w:r>
      <w:r w:rsidRPr="00420D47">
        <w:rPr>
          <w:rFonts w:ascii="Times New Roman" w:hAnsi="Times New Roman"/>
          <w:sz w:val="24"/>
          <w:szCs w:val="24"/>
        </w:rPr>
        <w:t>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CAPÍTULO III</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DAS DIRETRIZES PARA A ELABORAÇÃO E PARA A EXECUÇÃO DOS ORÇAMENTOS DO MUNICÍPIO E SUAS ALTERAÇÕES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5º</w:t>
      </w:r>
      <w:r w:rsidRPr="00420D47">
        <w:rPr>
          <w:rFonts w:ascii="Times New Roman" w:hAnsi="Times New Roman"/>
          <w:sz w:val="24"/>
          <w:szCs w:val="24"/>
        </w:rPr>
        <w:t xml:space="preserve"> O projeto de lei orçamentária para 2015 será elaborado com observância das determinações da Constituição Federal, da Lei Federal nº 4.320, de 17 de março de 1964, da Lei Complementar Federal nº 101/2000, do disposto nesta Lei.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As informações gerenciais e as fontes financeiras agregadas aos créditos orçamentários serão ajustadas diretamente pelos órgãos contábeis do Poder Executivo e do Poder Legislativo para atender às necessidades da execução orçamentária.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6º</w:t>
      </w:r>
      <w:r w:rsidRPr="00420D47">
        <w:rPr>
          <w:rFonts w:ascii="Times New Roman" w:hAnsi="Times New Roman"/>
          <w:sz w:val="24"/>
          <w:szCs w:val="24"/>
        </w:rPr>
        <w:t xml:space="preserve"> O projeto de lei orçamentária do Município de Pouso Alegre, relativo ao exercício de 2015, deverá assegurar os princípios de justiça social, inclusive tributária, de controle social, de transparência e de capacidade contributiva na elaboração e execução do orçamento.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7º</w:t>
      </w:r>
      <w:r w:rsidRPr="00420D47">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2015, inclusive da receita corrente líquida, acompanhados das respectivas memórias de cálculo.</w:t>
      </w:r>
    </w:p>
    <w:p w:rsidR="00420D47" w:rsidRPr="00420D47" w:rsidRDefault="00420D47" w:rsidP="00420D47">
      <w:pPr>
        <w:ind w:firstLine="3118"/>
        <w:jc w:val="both"/>
        <w:rPr>
          <w:rFonts w:ascii="Times New Roman" w:hAnsi="Times New Roman"/>
          <w:color w:val="FF0000"/>
          <w:sz w:val="24"/>
          <w:szCs w:val="24"/>
        </w:rPr>
      </w:pPr>
      <w:r w:rsidRPr="00420D47">
        <w:rPr>
          <w:rFonts w:ascii="Times New Roman" w:hAnsi="Times New Roman"/>
          <w:b/>
          <w:sz w:val="24"/>
          <w:szCs w:val="24"/>
        </w:rPr>
        <w:lastRenderedPageBreak/>
        <w:t>Art. 8º</w:t>
      </w:r>
      <w:r w:rsidRPr="00420D47">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Pr="00420D47">
        <w:rPr>
          <w:rFonts w:ascii="Times New Roman" w:hAnsi="Times New Roman"/>
          <w:color w:val="FF0000"/>
          <w:sz w:val="24"/>
          <w:szCs w:val="24"/>
        </w:rPr>
        <w:t>.</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São vedados aos ordenadores de despesa quaisquer procedimentos que viabilizem a execução de despesas sem suficiente disponibilidade de dotação orçamentária.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9º</w:t>
      </w:r>
      <w:r w:rsidRPr="00420D47">
        <w:rPr>
          <w:rFonts w:ascii="Times New Roman" w:hAnsi="Times New Roman"/>
          <w:sz w:val="24"/>
          <w:szCs w:val="24"/>
        </w:rPr>
        <w:t xml:space="preserve"> As categorias de programação de que trata esta Lei serão identificadas por funções, </w:t>
      </w:r>
      <w:proofErr w:type="spellStart"/>
      <w:r w:rsidRPr="00420D47">
        <w:rPr>
          <w:rFonts w:ascii="Times New Roman" w:hAnsi="Times New Roman"/>
          <w:sz w:val="24"/>
          <w:szCs w:val="24"/>
        </w:rPr>
        <w:t>subfunções</w:t>
      </w:r>
      <w:proofErr w:type="spellEnd"/>
      <w:r w:rsidRPr="00420D47">
        <w:rPr>
          <w:rFonts w:ascii="Times New Roman" w:hAnsi="Times New Roman"/>
          <w:sz w:val="24"/>
          <w:szCs w:val="24"/>
        </w:rPr>
        <w:t>, programas, atividades, projetos, operações especiais, de acordo com as codificações da Portaria SOF nº 42/1999, da Portaria Interministerial STN/SOF nº 163/2001 e da Lei do Plano Plurianual relativo ao período de 2014-2017.</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O Poder Executivo poderá, mediante decreto específico, transferir total ou parcialmente </w:t>
      </w:r>
      <w:proofErr w:type="gramStart"/>
      <w:r w:rsidRPr="00420D47">
        <w:rPr>
          <w:rFonts w:ascii="Times New Roman" w:hAnsi="Times New Roman"/>
          <w:sz w:val="24"/>
          <w:szCs w:val="24"/>
        </w:rPr>
        <w:t>as dotações orçamentárias aprovadas na Lei Orçamentária de 2015 e em seus créditos adicionais, mantida a estrutura</w:t>
      </w:r>
      <w:proofErr w:type="gramEnd"/>
      <w:r w:rsidRPr="00420D47">
        <w:rPr>
          <w:rFonts w:ascii="Times New Roman" w:hAnsi="Times New Roman"/>
          <w:sz w:val="24"/>
          <w:szCs w:val="24"/>
        </w:rPr>
        <w:t xml:space="preserve"> programática, expressa por categoria de programação, conforme definida no artigo 11, desta Lei.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10. </w:t>
      </w:r>
      <w:r w:rsidRPr="00420D47">
        <w:rPr>
          <w:rFonts w:ascii="Times New Roman" w:hAnsi="Times New Roman"/>
          <w:sz w:val="24"/>
          <w:szCs w:val="24"/>
        </w:rPr>
        <w:t>A abertura de créditos suplementares e especiais dependerá de prévia autorização legislativa e da existência de recursos disponíveis para cobrir a despesa, nos termos da Lei nº 4.320/1964 e da Constituição da República.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1º</w:t>
      </w:r>
      <w:r w:rsidRPr="00420D47">
        <w:rPr>
          <w:rFonts w:ascii="Times New Roman" w:hAnsi="Times New Roman"/>
          <w:sz w:val="24"/>
          <w:szCs w:val="24"/>
        </w:rPr>
        <w:t xml:space="preserve"> A lei orçamentária conterá autorização e disporá sobre o limite para a abertura de créditos adicionais suplementares.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Acompanharão os projetos de lei relativos a créditos especiais exposições de motivos circunstanciadas que os justifiquem e que indiquem as </w:t>
      </w:r>
      <w:proofErr w:type="spellStart"/>
      <w:r w:rsidRPr="00420D47">
        <w:rPr>
          <w:rFonts w:ascii="Times New Roman" w:hAnsi="Times New Roman"/>
          <w:sz w:val="24"/>
          <w:szCs w:val="24"/>
        </w:rPr>
        <w:t>consequências</w:t>
      </w:r>
      <w:proofErr w:type="spellEnd"/>
      <w:r w:rsidRPr="00420D47">
        <w:rPr>
          <w:rFonts w:ascii="Times New Roman" w:hAnsi="Times New Roman"/>
          <w:sz w:val="24"/>
          <w:szCs w:val="24"/>
        </w:rPr>
        <w:t xml:space="preserve"> dos cancelamentos de dotações propostos.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11.</w:t>
      </w:r>
      <w:r w:rsidRPr="00420D47">
        <w:rPr>
          <w:rFonts w:ascii="Times New Roman" w:hAnsi="Times New Roman"/>
          <w:sz w:val="24"/>
          <w:szCs w:val="24"/>
        </w:rPr>
        <w:t xml:space="preserve"> A reabertura dos créditos especiais e extraordinários, conforme disposto no art. 167, § 2º, da Constituição Federal, será </w:t>
      </w:r>
      <w:proofErr w:type="gramStart"/>
      <w:r w:rsidRPr="00420D47">
        <w:rPr>
          <w:rFonts w:ascii="Times New Roman" w:hAnsi="Times New Roman"/>
          <w:sz w:val="24"/>
          <w:szCs w:val="24"/>
        </w:rPr>
        <w:t>efetivada</w:t>
      </w:r>
      <w:proofErr w:type="gramEnd"/>
      <w:r w:rsidRPr="00420D47">
        <w:rPr>
          <w:rFonts w:ascii="Times New Roman" w:hAnsi="Times New Roman"/>
          <w:sz w:val="24"/>
          <w:szCs w:val="24"/>
        </w:rPr>
        <w:t xml:space="preserve"> mediante decreto do Prefeito Municipal, utilizando os recursos previstos no art. 43 da Lei nº 4.320/1964.</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12.</w:t>
      </w:r>
      <w:r w:rsidRPr="00420D47">
        <w:rPr>
          <w:rFonts w:ascii="Times New Roman" w:hAnsi="Times New Roman"/>
          <w:sz w:val="24"/>
          <w:szCs w:val="24"/>
        </w:rPr>
        <w:t xml:space="preserve"> As modificações de que trata o artigo anterior serão efetivadas por ato do Chefe do Executivo e devidamente justificadas.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13.</w:t>
      </w:r>
      <w:r w:rsidRPr="00420D47">
        <w:rPr>
          <w:rFonts w:ascii="Times New Roman" w:hAnsi="Times New Roman"/>
          <w:sz w:val="24"/>
          <w:szCs w:val="24"/>
        </w:rPr>
        <w:t xml:space="preserve"> Fica o Executivo autorizado a realizar, no curso da execução orçamentária, operações de crédito nas espécies, limites e condições </w:t>
      </w:r>
      <w:r w:rsidRPr="00420D47">
        <w:rPr>
          <w:rFonts w:ascii="Times New Roman" w:hAnsi="Times New Roman"/>
          <w:sz w:val="24"/>
          <w:szCs w:val="24"/>
        </w:rPr>
        <w:lastRenderedPageBreak/>
        <w:t>estabelecidas em Resolução do Senado Federal pertinente, especialmente na Lei Complementar nº 101, de 04 de maio de 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14.</w:t>
      </w:r>
      <w:r w:rsidRPr="00420D47">
        <w:rPr>
          <w:rFonts w:ascii="Times New Roman" w:hAnsi="Times New Roman"/>
          <w:sz w:val="24"/>
          <w:szCs w:val="24"/>
        </w:rPr>
        <w:t xml:space="preserve"> A lei orçamentária não consignará recursos para início de novos projetos se não estiverem adequadamente atendidos os em andamento e contempladas as despesas de conservação do patrimônio público.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1º</w:t>
      </w:r>
      <w:r w:rsidRPr="00420D47">
        <w:rPr>
          <w:rFonts w:ascii="Times New Roman" w:hAnsi="Times New Roman"/>
          <w:sz w:val="24"/>
          <w:szCs w:val="24"/>
        </w:rPr>
        <w:t xml:space="preserve"> A regra constante do caput deste artigo aplica-se no âmbito de cada fonte de recurso, conforme vinculações legalmente estabelecidas.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15. </w:t>
      </w:r>
      <w:r w:rsidRPr="00420D47">
        <w:rPr>
          <w:rFonts w:ascii="Times New Roman" w:hAnsi="Times New Roman"/>
          <w:sz w:val="24"/>
          <w:szCs w:val="24"/>
        </w:rPr>
        <w:t>A lei orçamentária conterá reserva de contingência para atender passivos contingentes e outros riscos e eventos fiscais imprevistos e demais créditos adicionais.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1º</w:t>
      </w:r>
      <w:r w:rsidRPr="00420D47">
        <w:rPr>
          <w:rFonts w:ascii="Times New Roman" w:hAnsi="Times New Roman"/>
          <w:sz w:val="24"/>
          <w:szCs w:val="24"/>
        </w:rPr>
        <w:t xml:space="preserve"> A reserva de contingência constituída exclusivamente com recursos do orçamento fiscal será equivalente a até 1% (um por cento) da receita corrente líquida, prevista na proposta orçamentária de 2015.</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 2º </w:t>
      </w:r>
      <w:r w:rsidRPr="00420D47">
        <w:rPr>
          <w:rFonts w:ascii="Times New Roman" w:hAnsi="Times New Roman"/>
          <w:sz w:val="24"/>
          <w:szCs w:val="24"/>
        </w:rPr>
        <w:t>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16.</w:t>
      </w:r>
      <w:r w:rsidRPr="00420D47">
        <w:rPr>
          <w:rFonts w:ascii="Times New Roman" w:hAnsi="Times New Roman"/>
          <w:sz w:val="24"/>
          <w:szCs w:val="24"/>
        </w:rPr>
        <w:t xml:space="preserve">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w:t>
      </w:r>
      <w:proofErr w:type="gramStart"/>
      <w:r w:rsidRPr="00420D47">
        <w:rPr>
          <w:rFonts w:ascii="Times New Roman" w:hAnsi="Times New Roman"/>
          <w:sz w:val="24"/>
          <w:szCs w:val="24"/>
        </w:rPr>
        <w:t>incisos I e II do artigo 24 da Lei Federal</w:t>
      </w:r>
      <w:proofErr w:type="gramEnd"/>
      <w:r w:rsidRPr="00420D47">
        <w:rPr>
          <w:rFonts w:ascii="Times New Roman" w:hAnsi="Times New Roman"/>
          <w:sz w:val="24"/>
          <w:szCs w:val="24"/>
        </w:rPr>
        <w:t xml:space="preserve"> nº 8.666, de 21 de junho de 1993.</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17.</w:t>
      </w:r>
      <w:r w:rsidRPr="00420D47">
        <w:rPr>
          <w:rFonts w:ascii="Times New Roman" w:hAnsi="Times New Roman"/>
          <w:sz w:val="24"/>
          <w:szCs w:val="24"/>
        </w:rPr>
        <w:t xml:space="preserve"> O Poder Executivo estabelecerá por ato próprio, até 30 (trinta) dias após a publicação da lei orçamentária de 2015, as metas bimestrais de arrecadação, a programação financeira e o cronograma de execução mensal de desembolso, respectivamente, nos termos dos art. 8º e 13 da Lei Complementar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1º</w:t>
      </w:r>
      <w:r w:rsidRPr="00420D47">
        <w:rPr>
          <w:rFonts w:ascii="Times New Roman" w:hAnsi="Times New Roman"/>
          <w:sz w:val="24"/>
          <w:szCs w:val="24"/>
        </w:rPr>
        <w:t xml:space="preserve"> Para atender ao caput deste artigo, os órgãos da administração indireta do Poder Executivo e o Poder Legislativo encaminharão ao Órgão Central de Contabilidade do Município, até 15 (quinze) dias após a publicação da lei orçamentária de 2015, os seguintes demonstrativos: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lastRenderedPageBreak/>
        <w:t>I – as metas mensais de arrecadação de receitas, de forma a atender o disposto no art. 13 da Lei Complementar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a programação financeira das despesas, nos termos do art. 8º da Lei Complementar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III – o cronograma mensal de desembolso, incluídos os pagamentos dos restos a pagar, nos termos do art. 8º da Lei Complementar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O Poder Executivo deverá dar publicidade às metas bimestrais de arrecadação, à programação </w:t>
      </w:r>
      <w:proofErr w:type="spellStart"/>
      <w:r w:rsidRPr="00420D47">
        <w:rPr>
          <w:rFonts w:ascii="Times New Roman" w:hAnsi="Times New Roman"/>
          <w:sz w:val="24"/>
          <w:szCs w:val="24"/>
        </w:rPr>
        <w:t>financeirae</w:t>
      </w:r>
      <w:proofErr w:type="spellEnd"/>
      <w:r w:rsidRPr="00420D47">
        <w:rPr>
          <w:rFonts w:ascii="Times New Roman" w:hAnsi="Times New Roman"/>
          <w:sz w:val="24"/>
          <w:szCs w:val="24"/>
        </w:rPr>
        <w:t xml:space="preserve"> ao cronograma mensal de desembolso, no órgão oficial de publicação do Município até 30 (trinta) dias após a publicação da lei orçamentária de 2015.</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 3º. </w:t>
      </w:r>
      <w:r w:rsidRPr="00420D47">
        <w:rPr>
          <w:rFonts w:ascii="Times New Roman" w:hAnsi="Times New Roman"/>
          <w:sz w:val="24"/>
          <w:szCs w:val="24"/>
        </w:rPr>
        <w:t>A programação financeira e o cronograma mensal de desembolso de que trata o caput deste artigo deverão ser elaborados de forma a garantir o cumprimento da meta de resultado primário estabelecida nesta Lei.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4º.</w:t>
      </w:r>
      <w:r w:rsidRPr="00420D47">
        <w:rPr>
          <w:rFonts w:ascii="Times New Roman" w:hAnsi="Times New Roman"/>
          <w:sz w:val="24"/>
          <w:szCs w:val="24"/>
        </w:rPr>
        <w:t xml:space="preserve"> Na hipótese de ser constatada, após o encerramento de cada bimestre, frustração na arrecadação de receitas capaz de comprometer </w:t>
      </w:r>
      <w:proofErr w:type="gramStart"/>
      <w:r w:rsidRPr="00420D47">
        <w:rPr>
          <w:rFonts w:ascii="Times New Roman" w:hAnsi="Times New Roman"/>
          <w:sz w:val="24"/>
          <w:szCs w:val="24"/>
        </w:rPr>
        <w:t>a obtenção dos resultados nominal e primário fixados no Anexo de Metas Fiscais</w:t>
      </w:r>
      <w:proofErr w:type="gramEnd"/>
      <w:r w:rsidRPr="00420D47">
        <w:rPr>
          <w:rFonts w:ascii="Times New Roman" w:hAnsi="Times New Roman"/>
          <w:sz w:val="24"/>
          <w:szCs w:val="24"/>
        </w:rPr>
        <w:t xml:space="preserve">, por atos a serem adotados nos 30 (trinta) dias </w:t>
      </w:r>
      <w:proofErr w:type="spellStart"/>
      <w:r w:rsidRPr="00420D47">
        <w:rPr>
          <w:rFonts w:ascii="Times New Roman" w:hAnsi="Times New Roman"/>
          <w:sz w:val="24"/>
          <w:szCs w:val="24"/>
        </w:rPr>
        <w:t>subsequentes</w:t>
      </w:r>
      <w:proofErr w:type="spellEnd"/>
      <w:r w:rsidRPr="00420D47">
        <w:rPr>
          <w:rFonts w:ascii="Times New Roman" w:hAnsi="Times New Roman"/>
          <w:sz w:val="24"/>
          <w:szCs w:val="24"/>
        </w:rPr>
        <w:t>, o Poder Executivo e o Poder Legislativo determinarão, de maneira proporcional, a limitação de empenho e movimentação financeira, em montantes necessários à preservação dos resultados almejados.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5º.</w:t>
      </w:r>
      <w:r w:rsidRPr="00420D47">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6º.</w:t>
      </w:r>
      <w:r w:rsidRPr="00420D47">
        <w:rPr>
          <w:rFonts w:ascii="Times New Roman" w:hAnsi="Times New Roman"/>
          <w:sz w:val="24"/>
          <w:szCs w:val="24"/>
        </w:rPr>
        <w:t xml:space="preserve"> Não </w:t>
      </w:r>
      <w:proofErr w:type="gramStart"/>
      <w:r w:rsidRPr="00420D47">
        <w:rPr>
          <w:rFonts w:ascii="Times New Roman" w:hAnsi="Times New Roman"/>
          <w:sz w:val="24"/>
          <w:szCs w:val="24"/>
        </w:rPr>
        <w:t>serão</w:t>
      </w:r>
      <w:proofErr w:type="gramEnd"/>
      <w:r w:rsidRPr="00420D47">
        <w:rPr>
          <w:rFonts w:ascii="Times New Roman" w:hAnsi="Times New Roman"/>
          <w:sz w:val="24"/>
          <w:szCs w:val="24"/>
        </w:rPr>
        <w:t xml:space="preserve"> objeto de limitação de empenho e movimentação financeira as despesas que constituam obrigações constitucionais e legais do Município, inclusive as destinadas ao pagamento do serviço da dívida e precatórios judiciais.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7º.</w:t>
      </w:r>
      <w:r w:rsidRPr="00420D47">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8º.</w:t>
      </w:r>
      <w:r w:rsidRPr="00420D47">
        <w:rPr>
          <w:rFonts w:ascii="Times New Roman" w:hAnsi="Times New Roman"/>
          <w:sz w:val="24"/>
          <w:szCs w:val="24"/>
        </w:rPr>
        <w:t xml:space="preserve"> Na ocorrência de calamidade pública, serão dispensadas a obtenção dos resultados fiscais programados e a limitação de empenho </w:t>
      </w:r>
      <w:r w:rsidRPr="00420D47">
        <w:rPr>
          <w:rFonts w:ascii="Times New Roman" w:hAnsi="Times New Roman"/>
          <w:sz w:val="24"/>
          <w:szCs w:val="24"/>
        </w:rPr>
        <w:lastRenderedPageBreak/>
        <w:t>enquanto perdurar essa situação, nos termos do disposto no artigo 65 da Lei Complementar Federal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9º.</w:t>
      </w:r>
      <w:r w:rsidRPr="00420D47">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18.</w:t>
      </w:r>
      <w:r w:rsidRPr="00420D47">
        <w:rPr>
          <w:rFonts w:ascii="Times New Roman" w:hAnsi="Times New Roman"/>
          <w:sz w:val="24"/>
          <w:szCs w:val="24"/>
        </w:rPr>
        <w:t xml:space="preserve"> Além da observância das metas e </w:t>
      </w:r>
      <w:proofErr w:type="spellStart"/>
      <w:r w:rsidRPr="00420D47">
        <w:rPr>
          <w:rFonts w:ascii="Times New Roman" w:hAnsi="Times New Roman"/>
          <w:sz w:val="24"/>
          <w:szCs w:val="24"/>
        </w:rPr>
        <w:t>prioridadesdefinidas</w:t>
      </w:r>
      <w:proofErr w:type="spellEnd"/>
      <w:r w:rsidRPr="00420D47">
        <w:rPr>
          <w:rFonts w:ascii="Times New Roman" w:hAnsi="Times New Roman"/>
          <w:sz w:val="24"/>
          <w:szCs w:val="24"/>
        </w:rPr>
        <w:t xml:space="preserve"> nos termos do artigo 2º desta Lei, a Lei Orçamentária de 2015 e seus créditos </w:t>
      </w:r>
      <w:proofErr w:type="gramStart"/>
      <w:r w:rsidRPr="00420D47">
        <w:rPr>
          <w:rFonts w:ascii="Times New Roman" w:hAnsi="Times New Roman"/>
          <w:sz w:val="24"/>
          <w:szCs w:val="24"/>
        </w:rPr>
        <w:t>adicionais, observado</w:t>
      </w:r>
      <w:proofErr w:type="gramEnd"/>
      <w:r w:rsidRPr="00420D47">
        <w:rPr>
          <w:rFonts w:ascii="Times New Roman" w:hAnsi="Times New Roman"/>
          <w:sz w:val="24"/>
          <w:szCs w:val="24"/>
        </w:rPr>
        <w:t xml:space="preserve"> o disposto no art. 45 da Lei Complementar nº 101/2000, somente incluirão projetos novos se:</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 – estiverem compatíveis com o Plano Plurianual de 2014-2017 e com as normas desta Lei;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tiverem sido adequadamente contemplados todos os projetos em andamento;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III – estiverem preservados os recursos necessários à conservação do patrimônio público;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IV – os recursos alocados destinarem-se a contrapartidas de recursos federais, estaduais ou de operações de crédito, com o objetivo de uma ação municipal.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Considera-se projeto em andamento para os efeitos desta Lei, aquele cuja execução iniciar-se até a data de encaminhamento da proposta orçamentária de 2016, cujo cronograma de execução ultrapasse o término do exercício de 2015.</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19.</w:t>
      </w:r>
      <w:r w:rsidRPr="00420D47">
        <w:rPr>
          <w:rFonts w:ascii="Times New Roman" w:hAnsi="Times New Roman"/>
          <w:sz w:val="24"/>
          <w:szCs w:val="24"/>
        </w:rPr>
        <w:t xml:space="preserve"> É vedada a inclusão, na lei orçamentária e em seus créditos adicionais, de dotação a título de subvenções sociais, ressalvadas as autorizadas mediante lei específica que sejam destinadas: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 – às entidades que prestem atendimento direto ao público, de forma gratuita, nas áreas de assistência social, saúde, educação, esporte ou cultura;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às entidades sem fins lucrativos que realizem atividades de natureza continuada;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III – às entidades que tenham sido declaradas por lei como sendo de utilidade pública.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lastRenderedPageBreak/>
        <w:t>Parágrafo único.</w:t>
      </w:r>
      <w:r w:rsidRPr="00420D47">
        <w:rPr>
          <w:rFonts w:ascii="Times New Roman" w:hAnsi="Times New Roman"/>
          <w:sz w:val="24"/>
          <w:szCs w:val="24"/>
        </w:rPr>
        <w:t xml:space="preserve"> Para habilitar-se ao recebimento de subvenções sociais, a entidade privada sem fins lucrativos deverá apresentar declaração de regular funcionamento, emitida no exercício de 2015 por, no mínimo, uma autoridade local, e comprovante de regularidade do mandato de sua diretoria, sem prejuízo dos dispositivos constantes de lei específica.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20.</w:t>
      </w:r>
      <w:r w:rsidRPr="00420D47">
        <w:rPr>
          <w:rFonts w:ascii="Times New Roman" w:hAnsi="Times New Roman"/>
          <w:sz w:val="24"/>
          <w:szCs w:val="24"/>
        </w:rPr>
        <w:t xml:space="preserve"> É vedada a inclusão, na lei orçamentária e em seus créditos adicionais, de dotações a título de auxílios e contribuições para entidades públicas e/ou privadas ressalvadas as autorizadas mediante lei específica e desde que sejam:</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 – de atendimento direto e gratuito ao público, voltadas para as ações relativas ao ensino, saúde, educação, esporte, cultura, assistência social, agropecuária e de proteção ao meio ambiente;</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associações ou consórcios intermunicipais, constituídos exclusivamente por entes públicos, legalmente instituídos e signatários de contrato de gestão com a administração pública municipal e que participem da execução de programas municipais.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21.</w:t>
      </w:r>
      <w:r w:rsidRPr="00420D47">
        <w:rPr>
          <w:rFonts w:ascii="Times New Roman" w:hAnsi="Times New Roman"/>
          <w:sz w:val="24"/>
          <w:szCs w:val="24"/>
        </w:rPr>
        <w:t xml:space="preserve">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22.</w:t>
      </w:r>
      <w:r w:rsidRPr="00420D47">
        <w:rPr>
          <w:rFonts w:ascii="Times New Roman" w:hAnsi="Times New Roman"/>
          <w:sz w:val="24"/>
          <w:szCs w:val="24"/>
        </w:rPr>
        <w:t xml:space="preserve"> É vedada a inclusão, na lei orçamentária e em seus créditos adicionais, de dotação para a realização de transferência financeira a outro ente da federação, exceto para atender as situações que envolvam claramente </w:t>
      </w:r>
      <w:proofErr w:type="gramStart"/>
      <w:r w:rsidRPr="00420D47">
        <w:rPr>
          <w:rFonts w:ascii="Times New Roman" w:hAnsi="Times New Roman"/>
          <w:sz w:val="24"/>
          <w:szCs w:val="24"/>
        </w:rPr>
        <w:t>o atendimento de interesses locais, observadas</w:t>
      </w:r>
      <w:proofErr w:type="gramEnd"/>
      <w:r w:rsidRPr="00420D47">
        <w:rPr>
          <w:rFonts w:ascii="Times New Roman" w:hAnsi="Times New Roman"/>
          <w:sz w:val="24"/>
          <w:szCs w:val="24"/>
        </w:rPr>
        <w:t xml:space="preserve"> as exigências do art. 25 e 62 da Lei Complementar nº 101/2000.</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23.</w:t>
      </w:r>
      <w:r w:rsidRPr="00420D47">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24.</w:t>
      </w:r>
      <w:r w:rsidRPr="00420D47">
        <w:rPr>
          <w:rFonts w:ascii="Times New Roman" w:hAnsi="Times New Roman"/>
          <w:sz w:val="24"/>
          <w:szCs w:val="24"/>
        </w:rPr>
        <w:t xml:space="preserve"> As transferências de recursos às entidades previstas nos </w:t>
      </w:r>
      <w:proofErr w:type="spellStart"/>
      <w:r w:rsidRPr="00420D47">
        <w:rPr>
          <w:rFonts w:ascii="Times New Roman" w:hAnsi="Times New Roman"/>
          <w:sz w:val="24"/>
          <w:szCs w:val="24"/>
        </w:rPr>
        <w:t>arts</w:t>
      </w:r>
      <w:proofErr w:type="spellEnd"/>
      <w:r w:rsidRPr="00420D47">
        <w:rPr>
          <w:rFonts w:ascii="Times New Roman" w:hAnsi="Times New Roman"/>
          <w:sz w:val="24"/>
          <w:szCs w:val="24"/>
        </w:rPr>
        <w:t>.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lastRenderedPageBreak/>
        <w:t>§ 1º</w:t>
      </w:r>
      <w:r w:rsidRPr="00420D47">
        <w:rPr>
          <w:rFonts w:ascii="Times New Roman" w:hAnsi="Times New Roman"/>
          <w:sz w:val="24"/>
          <w:szCs w:val="24"/>
        </w:rPr>
        <w:t xml:space="preserve"> Compete ao </w:t>
      </w:r>
      <w:proofErr w:type="gramStart"/>
      <w:r w:rsidRPr="00420D47">
        <w:rPr>
          <w:rFonts w:ascii="Times New Roman" w:hAnsi="Times New Roman"/>
          <w:sz w:val="24"/>
          <w:szCs w:val="24"/>
        </w:rPr>
        <w:t>órgão concedente</w:t>
      </w:r>
      <w:proofErr w:type="gramEnd"/>
      <w:r w:rsidRPr="00420D47">
        <w:rPr>
          <w:rFonts w:ascii="Times New Roman" w:hAnsi="Times New Roman"/>
          <w:sz w:val="24"/>
          <w:szCs w:val="24"/>
        </w:rPr>
        <w:t xml:space="preserve"> o acompanhamento da realização do plano de trabalho executado com recursos transferidos pelo Município.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É vedada a celebração de convênio com entidade em situação irregular com o Município, em decorrência de transferência feita anteriormente.</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25.</w:t>
      </w:r>
      <w:r w:rsidRPr="00420D47">
        <w:rPr>
          <w:rFonts w:ascii="Times New Roman" w:hAnsi="Times New Roman"/>
          <w:sz w:val="24"/>
          <w:szCs w:val="24"/>
        </w:rPr>
        <w:t xml:space="preserve">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As normas do caput deste artigo não se aplicam a ajuda a pessoas físicas custeadas pelos recursos do Sistema Único de Saúde.</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26.</w:t>
      </w:r>
      <w:r w:rsidRPr="00420D47">
        <w:rPr>
          <w:rFonts w:ascii="Times New Roman" w:hAnsi="Times New Roman"/>
          <w:sz w:val="24"/>
          <w:szCs w:val="24"/>
        </w:rPr>
        <w:t xml:space="preserve">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Parágrafo único.</w:t>
      </w:r>
      <w:r w:rsidRPr="00420D47">
        <w:rPr>
          <w:rFonts w:ascii="Times New Roman" w:hAnsi="Times New Roman"/>
          <w:sz w:val="24"/>
          <w:szCs w:val="24"/>
        </w:rPr>
        <w:t xml:space="preserve"> O aumento da transferência de recursos financeiros de um órgão para outro somente poderá ocorrer mediante prévia autorização legislativa, conforme determina o art. 167, inciso VI da Constituição Federal.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27.</w:t>
      </w:r>
      <w:r w:rsidRPr="00420D47">
        <w:rPr>
          <w:rFonts w:ascii="Times New Roman" w:hAnsi="Times New Roman"/>
          <w:sz w:val="24"/>
          <w:szCs w:val="24"/>
        </w:rPr>
        <w:t xml:space="preserve"> Até o momento da publicação da Lei Orçamentária, se esta ocorrer depois de encerrado o exercício de 2014, </w:t>
      </w:r>
      <w:proofErr w:type="gramStart"/>
      <w:r w:rsidRPr="00420D47">
        <w:rPr>
          <w:rFonts w:ascii="Times New Roman" w:hAnsi="Times New Roman"/>
          <w:sz w:val="24"/>
          <w:szCs w:val="24"/>
        </w:rPr>
        <w:t>ficam</w:t>
      </w:r>
      <w:proofErr w:type="gramEnd"/>
      <w:r w:rsidRPr="00420D47">
        <w:rPr>
          <w:rFonts w:ascii="Times New Roman" w:hAnsi="Times New Roman"/>
          <w:sz w:val="24"/>
          <w:szCs w:val="24"/>
        </w:rPr>
        <w:t xml:space="preserve"> os Poderes Executivo e Legislativo autorizados a realizar despesas, observado o limite mensal de 1/12 (um doze avos) do total da despesa fixada na proposta original encaminhada ao Poder Legislativo.</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CAPÍTULO IV</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DAS DISPOSIÇÕES RELATIVAS ÀS DESPESAS COM PESSOAL E COM ENCARGOS SOCIAIS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28.</w:t>
      </w:r>
      <w:r w:rsidRPr="00420D47">
        <w:rPr>
          <w:rFonts w:ascii="Times New Roman" w:hAnsi="Times New Roman"/>
          <w:sz w:val="24"/>
          <w:szCs w:val="24"/>
        </w:rPr>
        <w:t xml:space="preserve">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lastRenderedPageBreak/>
        <w:t>I – concessão de vantagem ou aumento de remuneração, criação de cargos, empregos e funções ou alteração de estruturas de carreiras;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admissão de pessoal ou contratação a qualquer título.</w:t>
      </w:r>
    </w:p>
    <w:p w:rsidR="00420D47" w:rsidRPr="00420D47" w:rsidRDefault="00420D47" w:rsidP="00420D47">
      <w:pPr>
        <w:ind w:firstLine="3118"/>
        <w:jc w:val="both"/>
        <w:rPr>
          <w:rFonts w:ascii="Times New Roman" w:hAnsi="Times New Roman"/>
          <w:sz w:val="24"/>
          <w:szCs w:val="24"/>
        </w:rPr>
      </w:pPr>
      <w:r>
        <w:rPr>
          <w:rFonts w:ascii="Times New Roman" w:hAnsi="Times New Roman"/>
          <w:b/>
          <w:sz w:val="24"/>
          <w:szCs w:val="24"/>
        </w:rPr>
        <w:t>Parágrafo único.</w:t>
      </w:r>
      <w:r w:rsidRPr="00420D47">
        <w:rPr>
          <w:rFonts w:ascii="Times New Roman" w:hAnsi="Times New Roman"/>
          <w:b/>
          <w:sz w:val="24"/>
          <w:szCs w:val="24"/>
        </w:rPr>
        <w:t xml:space="preserve"> </w:t>
      </w:r>
      <w:r w:rsidRPr="00420D47">
        <w:rPr>
          <w:rFonts w:ascii="Times New Roman" w:hAnsi="Times New Roman"/>
          <w:sz w:val="24"/>
          <w:szCs w:val="24"/>
        </w:rPr>
        <w:t>Os aumentos de despesa de que trata este artigo somente poderão ocorrer se houver:</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 – prévia dotação orçamentária suficiente para atender às projeções de despesa de pessoal e aos acréscimos dela decorrentes;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 – lei específica para as hipóteses previstas no inciso I, do caput;</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III – no caso do Poder Legislativo, observância aos limites fixados nos artigos 29 e 29-A da Constituição Federal.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29.</w:t>
      </w:r>
      <w:r w:rsidRPr="00420D47">
        <w:rPr>
          <w:rFonts w:ascii="Times New Roman" w:hAnsi="Times New Roman"/>
          <w:sz w:val="24"/>
          <w:szCs w:val="24"/>
        </w:rPr>
        <w:t xml:space="preserve">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30. </w:t>
      </w:r>
      <w:r w:rsidRPr="00420D47">
        <w:rPr>
          <w:rFonts w:ascii="Times New Roman" w:hAnsi="Times New Roman"/>
          <w:sz w:val="24"/>
          <w:szCs w:val="24"/>
        </w:rPr>
        <w:t>Fica autorizada a revisão geral anual de que trata o artigo 37, inciso X, da Constituição Federal, cujo percentual será definido em lei específica.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31. </w:t>
      </w:r>
      <w:r w:rsidRPr="00420D47">
        <w:rPr>
          <w:rFonts w:ascii="Times New Roman" w:hAnsi="Times New Roman"/>
          <w:sz w:val="24"/>
          <w:szCs w:val="24"/>
        </w:rPr>
        <w:t xml:space="preserve">O Poder Executivo realizará estudos visando </w:t>
      </w:r>
      <w:proofErr w:type="gramStart"/>
      <w:r w:rsidRPr="00420D47">
        <w:rPr>
          <w:rFonts w:ascii="Times New Roman" w:hAnsi="Times New Roman"/>
          <w:sz w:val="24"/>
          <w:szCs w:val="24"/>
        </w:rPr>
        <w:t>a</w:t>
      </w:r>
      <w:proofErr w:type="gramEnd"/>
      <w:r w:rsidRPr="00420D47">
        <w:rPr>
          <w:rFonts w:ascii="Times New Roman" w:hAnsi="Times New Roman"/>
          <w:sz w:val="24"/>
          <w:szCs w:val="24"/>
        </w:rPr>
        <w:t xml:space="preserve"> definição de sistema de controle de custos e a avaliação do resultado dos programas de governo.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32.</w:t>
      </w:r>
      <w:r w:rsidRPr="00420D47">
        <w:rPr>
          <w:rFonts w:ascii="Times New Roman" w:hAnsi="Times New Roman"/>
          <w:sz w:val="24"/>
          <w:szCs w:val="24"/>
        </w:rPr>
        <w:t xml:space="preserve"> Além de observar as demais diretrizes estabelecidas nesta Lei, </w:t>
      </w:r>
      <w:proofErr w:type="gramStart"/>
      <w:r w:rsidRPr="00420D47">
        <w:rPr>
          <w:rFonts w:ascii="Times New Roman" w:hAnsi="Times New Roman"/>
          <w:sz w:val="24"/>
          <w:szCs w:val="24"/>
        </w:rPr>
        <w:t>a</w:t>
      </w:r>
      <w:proofErr w:type="gramEnd"/>
      <w:r w:rsidRPr="00420D47">
        <w:rPr>
          <w:rFonts w:ascii="Times New Roman" w:hAnsi="Times New Roman"/>
          <w:sz w:val="24"/>
          <w:szCs w:val="24"/>
        </w:rPr>
        <w:t xml:space="preserve"> alocação dos recursos na lei orçamentária e em seus créditos adicionais, bem como a respectiva execução, serão feitas na forma a propiciar o controle de custos e a avaliação dos resultados dos programas de governo.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 1º </w:t>
      </w:r>
      <w:r w:rsidRPr="00420D47">
        <w:rPr>
          <w:rFonts w:ascii="Times New Roman" w:hAnsi="Times New Roman"/>
          <w:sz w:val="24"/>
          <w:szCs w:val="24"/>
        </w:rPr>
        <w:t>Merecerá destaque o aprimoramento da gestão orçamentária, financeira e patrimonial, por intermédio da modernização dos instrumentos de planejamento, execução, avaliação e controle interno.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O Poder Executivo promoverá amplo esforço de redução de custos, </w:t>
      </w:r>
      <w:proofErr w:type="gramStart"/>
      <w:r w:rsidRPr="00420D47">
        <w:rPr>
          <w:rFonts w:ascii="Times New Roman" w:hAnsi="Times New Roman"/>
          <w:sz w:val="24"/>
          <w:szCs w:val="24"/>
        </w:rPr>
        <w:t>otimização</w:t>
      </w:r>
      <w:proofErr w:type="gramEnd"/>
      <w:r w:rsidRPr="00420D47">
        <w:rPr>
          <w:rFonts w:ascii="Times New Roman" w:hAnsi="Times New Roman"/>
          <w:sz w:val="24"/>
          <w:szCs w:val="24"/>
        </w:rPr>
        <w:t xml:space="preserve"> de gastos e </w:t>
      </w:r>
      <w:proofErr w:type="spellStart"/>
      <w:r w:rsidRPr="00420D47">
        <w:rPr>
          <w:rFonts w:ascii="Times New Roman" w:hAnsi="Times New Roman"/>
          <w:sz w:val="24"/>
          <w:szCs w:val="24"/>
        </w:rPr>
        <w:t>reordenamento</w:t>
      </w:r>
      <w:proofErr w:type="spellEnd"/>
      <w:r w:rsidRPr="00420D47">
        <w:rPr>
          <w:rFonts w:ascii="Times New Roman" w:hAnsi="Times New Roman"/>
          <w:sz w:val="24"/>
          <w:szCs w:val="24"/>
        </w:rPr>
        <w:t xml:space="preserve"> de despesas do setor público </w:t>
      </w:r>
      <w:r w:rsidRPr="00420D47">
        <w:rPr>
          <w:rFonts w:ascii="Times New Roman" w:hAnsi="Times New Roman"/>
          <w:sz w:val="24"/>
          <w:szCs w:val="24"/>
        </w:rPr>
        <w:lastRenderedPageBreak/>
        <w:t>municipal, sobretudo pelo aumento da produtividade na prestação de serviços públicos e sociais.</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CAPÍTULO V</w:t>
      </w:r>
    </w:p>
    <w:p w:rsidR="00420D47" w:rsidRPr="00420D47" w:rsidRDefault="00420D47" w:rsidP="00420D47">
      <w:pPr>
        <w:jc w:val="center"/>
        <w:rPr>
          <w:rFonts w:ascii="Times New Roman" w:hAnsi="Times New Roman"/>
          <w:b/>
          <w:sz w:val="24"/>
          <w:szCs w:val="24"/>
        </w:rPr>
      </w:pPr>
      <w:r w:rsidRPr="00420D47">
        <w:rPr>
          <w:rFonts w:ascii="Times New Roman" w:hAnsi="Times New Roman"/>
          <w:b/>
          <w:sz w:val="24"/>
          <w:szCs w:val="24"/>
        </w:rPr>
        <w:t>DAS DISPOSIÇÕES SOBRE ALTERAÇÕES DA LEGISLAÇÃO TRIBUTÁRIA</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33.</w:t>
      </w:r>
      <w:r w:rsidRPr="00420D47">
        <w:rPr>
          <w:rFonts w:ascii="Times New Roman" w:hAnsi="Times New Roman"/>
          <w:sz w:val="24"/>
          <w:szCs w:val="24"/>
        </w:rPr>
        <w:t xml:space="preserve">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1º.</w:t>
      </w:r>
      <w:r w:rsidRPr="00420D47">
        <w:rPr>
          <w:rFonts w:ascii="Times New Roman" w:hAnsi="Times New Roman"/>
          <w:sz w:val="24"/>
          <w:szCs w:val="24"/>
        </w:rPr>
        <w:t xml:space="preserve"> As alterações propostas na legislação tributária de que trata o caput deste artigo poderão versar sobre:</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t xml:space="preserve">I </w:t>
      </w:r>
      <w:r w:rsidRPr="00420D47">
        <w:rPr>
          <w:rFonts w:ascii="Times New Roman" w:hAnsi="Times New Roman"/>
          <w:sz w:val="24"/>
          <w:szCs w:val="24"/>
        </w:rPr>
        <w:t>– o ajuste da legislação tributária aos novos ditames estabelecidos pela Constituição Federal e pelas condições econômicas do País;</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t>II</w:t>
      </w:r>
      <w:r w:rsidRPr="00420D47">
        <w:rPr>
          <w:rFonts w:ascii="Times New Roman" w:hAnsi="Times New Roman"/>
          <w:sz w:val="24"/>
          <w:szCs w:val="24"/>
        </w:rPr>
        <w:t xml:space="preserve"> –</w:t>
      </w:r>
      <w:r>
        <w:rPr>
          <w:rFonts w:ascii="Times New Roman" w:hAnsi="Times New Roman"/>
          <w:sz w:val="24"/>
          <w:szCs w:val="24"/>
        </w:rPr>
        <w:t xml:space="preserve"> </w:t>
      </w:r>
      <w:r w:rsidRPr="00420D47">
        <w:rPr>
          <w:rFonts w:ascii="Times New Roman" w:hAnsi="Times New Roman"/>
          <w:sz w:val="24"/>
          <w:szCs w:val="24"/>
        </w:rPr>
        <w:t xml:space="preserve">a adequação da tributação em função das características próprias do Município e em razão das alterações que vêm sendo </w:t>
      </w:r>
      <w:proofErr w:type="gramStart"/>
      <w:r w:rsidRPr="00420D47">
        <w:rPr>
          <w:rFonts w:ascii="Times New Roman" w:hAnsi="Times New Roman"/>
          <w:sz w:val="24"/>
          <w:szCs w:val="24"/>
        </w:rPr>
        <w:t>processadas no contexto tributária da economia nacional</w:t>
      </w:r>
      <w:proofErr w:type="gramEnd"/>
      <w:r w:rsidRPr="00420D47">
        <w:rPr>
          <w:rFonts w:ascii="Times New Roman" w:hAnsi="Times New Roman"/>
          <w:sz w:val="24"/>
          <w:szCs w:val="24"/>
        </w:rPr>
        <w:t>;</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t xml:space="preserve">III </w:t>
      </w:r>
      <w:r w:rsidRPr="00420D47">
        <w:rPr>
          <w:rFonts w:ascii="Times New Roman" w:hAnsi="Times New Roman"/>
          <w:sz w:val="24"/>
          <w:szCs w:val="24"/>
        </w:rPr>
        <w:t xml:space="preserve">– a atualização, </w:t>
      </w:r>
      <w:proofErr w:type="gramStart"/>
      <w:r w:rsidRPr="00420D47">
        <w:rPr>
          <w:rFonts w:ascii="Times New Roman" w:hAnsi="Times New Roman"/>
          <w:sz w:val="24"/>
          <w:szCs w:val="24"/>
        </w:rPr>
        <w:t>implementação</w:t>
      </w:r>
      <w:proofErr w:type="gramEnd"/>
      <w:r w:rsidRPr="00420D47">
        <w:rPr>
          <w:rFonts w:ascii="Times New Roman" w:hAnsi="Times New Roman"/>
          <w:sz w:val="24"/>
          <w:szCs w:val="24"/>
        </w:rPr>
        <w:t xml:space="preserve"> ou revisão da planta genérica de valores do Município, objetivando a modernização do cadastro físico;</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IV</w:t>
      </w:r>
      <w:r>
        <w:rPr>
          <w:rFonts w:ascii="Times New Roman" w:hAnsi="Times New Roman"/>
          <w:sz w:val="24"/>
          <w:szCs w:val="24"/>
        </w:rPr>
        <w:t xml:space="preserve"> </w:t>
      </w:r>
      <w:r w:rsidRPr="00420D47">
        <w:rPr>
          <w:rFonts w:ascii="Times New Roman" w:hAnsi="Times New Roman"/>
          <w:sz w:val="24"/>
          <w:szCs w:val="24"/>
        </w:rPr>
        <w:t>– a revisão do Imposto Predial e Territorial Urbano – IPTU, inclusive das suas alíquotas, da base de cálculo, da forma de cálculo e das condições de pagamento;</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t xml:space="preserve">V </w:t>
      </w:r>
      <w:r w:rsidRPr="00420D47">
        <w:rPr>
          <w:rFonts w:ascii="Times New Roman" w:hAnsi="Times New Roman"/>
          <w:sz w:val="24"/>
          <w:szCs w:val="24"/>
        </w:rPr>
        <w:t>– a revisão e atualização da legislação sobre a contribuição de melhoria decorrente de obras públicas;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VI</w:t>
      </w:r>
      <w:r>
        <w:rPr>
          <w:rFonts w:ascii="Times New Roman" w:hAnsi="Times New Roman"/>
          <w:sz w:val="24"/>
          <w:szCs w:val="24"/>
        </w:rPr>
        <w:t xml:space="preserve"> </w:t>
      </w:r>
      <w:r w:rsidRPr="00420D47">
        <w:rPr>
          <w:rFonts w:ascii="Times New Roman" w:hAnsi="Times New Roman"/>
          <w:sz w:val="24"/>
          <w:szCs w:val="24"/>
        </w:rPr>
        <w:t xml:space="preserve">– a revisão da legislação sobre o Imposto sobre a Transmissão </w:t>
      </w:r>
      <w:proofErr w:type="gramStart"/>
      <w:r w:rsidRPr="00420D47">
        <w:rPr>
          <w:rFonts w:ascii="Times New Roman" w:hAnsi="Times New Roman"/>
          <w:sz w:val="24"/>
          <w:szCs w:val="24"/>
        </w:rPr>
        <w:t>inter-vivos</w:t>
      </w:r>
      <w:proofErr w:type="gramEnd"/>
      <w:r w:rsidRPr="00420D47">
        <w:rPr>
          <w:rFonts w:ascii="Times New Roman" w:hAnsi="Times New Roman"/>
          <w:sz w:val="24"/>
          <w:szCs w:val="24"/>
        </w:rPr>
        <w:t xml:space="preserve"> e de Bens Imóveis e de Direitos Reais sobre Imóveis – ITBI;</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t xml:space="preserve">VII </w:t>
      </w:r>
      <w:r w:rsidRPr="00420D47">
        <w:rPr>
          <w:rFonts w:ascii="Times New Roman" w:hAnsi="Times New Roman"/>
          <w:sz w:val="24"/>
          <w:szCs w:val="24"/>
        </w:rPr>
        <w:t>– a revisão das isenções dos tributos, remissão ou anistia e taxas do Município, para manter o interesse público e a justiça fiscal;</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sz w:val="24"/>
          <w:szCs w:val="24"/>
        </w:rPr>
        <w:t>VIII</w:t>
      </w:r>
      <w:r>
        <w:rPr>
          <w:rFonts w:ascii="Times New Roman" w:hAnsi="Times New Roman"/>
          <w:sz w:val="24"/>
          <w:szCs w:val="24"/>
        </w:rPr>
        <w:t xml:space="preserve"> </w:t>
      </w:r>
      <w:r w:rsidRPr="00420D47">
        <w:rPr>
          <w:rFonts w:ascii="Times New Roman" w:hAnsi="Times New Roman"/>
          <w:sz w:val="24"/>
          <w:szCs w:val="24"/>
        </w:rPr>
        <w:t>– a criação do cadastro rural, objetivando o desenvolvimento rural no Município;</w:t>
      </w:r>
    </w:p>
    <w:p w:rsidR="00420D47" w:rsidRPr="00420D47" w:rsidRDefault="00420D47" w:rsidP="00420D47">
      <w:pPr>
        <w:ind w:firstLine="3118"/>
        <w:jc w:val="both"/>
        <w:rPr>
          <w:rFonts w:ascii="Times New Roman" w:hAnsi="Times New Roman"/>
          <w:sz w:val="24"/>
          <w:szCs w:val="24"/>
        </w:rPr>
      </w:pPr>
      <w:r>
        <w:rPr>
          <w:rFonts w:ascii="Times New Roman" w:hAnsi="Times New Roman"/>
          <w:sz w:val="24"/>
          <w:szCs w:val="24"/>
        </w:rPr>
        <w:lastRenderedPageBreak/>
        <w:t xml:space="preserve">IX </w:t>
      </w:r>
      <w:r w:rsidRPr="00420D47">
        <w:rPr>
          <w:rFonts w:ascii="Times New Roman" w:hAnsi="Times New Roman"/>
          <w:sz w:val="24"/>
          <w:szCs w:val="24"/>
        </w:rPr>
        <w:t>– revisão da legislação sobre o Imposto sobre Serviços de Qualquer Natureza (ISSQN), bem como das taxas.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2º</w:t>
      </w:r>
      <w:r w:rsidRPr="00420D47">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 xml:space="preserve">Art. 34. </w:t>
      </w:r>
      <w:r w:rsidRPr="00420D47">
        <w:rPr>
          <w:rFonts w:ascii="Times New Roman" w:hAnsi="Times New Roman"/>
          <w:sz w:val="24"/>
          <w:szCs w:val="24"/>
        </w:rPr>
        <w:t>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420D47" w:rsidRPr="00420D47" w:rsidRDefault="00420D47" w:rsidP="00420D47">
      <w:pPr>
        <w:ind w:firstLine="3118"/>
        <w:jc w:val="both"/>
        <w:rPr>
          <w:rFonts w:ascii="Times New Roman" w:hAnsi="Times New Roman"/>
          <w:sz w:val="24"/>
          <w:szCs w:val="24"/>
        </w:rPr>
      </w:pPr>
      <w:r w:rsidRPr="00420D47">
        <w:rPr>
          <w:rFonts w:ascii="Times New Roman" w:hAnsi="Times New Roman"/>
          <w:b/>
          <w:sz w:val="24"/>
          <w:szCs w:val="24"/>
        </w:rPr>
        <w:t>Art. 35.</w:t>
      </w:r>
      <w:r w:rsidRPr="00420D47">
        <w:rPr>
          <w:rFonts w:ascii="Times New Roman" w:hAnsi="Times New Roman"/>
          <w:sz w:val="24"/>
          <w:szCs w:val="24"/>
        </w:rPr>
        <w:t xml:space="preserve"> Esta Lei entra em vigor na data de sua publicação.</w:t>
      </w:r>
    </w:p>
    <w:p w:rsidR="00420D47" w:rsidRDefault="00420D47" w:rsidP="00420D47">
      <w:pPr>
        <w:jc w:val="center"/>
        <w:rPr>
          <w:rFonts w:ascii="Times New Roman" w:hAnsi="Times New Roman"/>
          <w:sz w:val="24"/>
          <w:szCs w:val="24"/>
        </w:rPr>
      </w:pPr>
    </w:p>
    <w:p w:rsidR="00EC25E8" w:rsidRPr="00EC25E8" w:rsidRDefault="00EC25E8" w:rsidP="00EC25E8">
      <w:pPr>
        <w:spacing w:after="0" w:line="240" w:lineRule="auto"/>
        <w:jc w:val="center"/>
        <w:rPr>
          <w:rFonts w:ascii="Times New Roman" w:hAnsi="Times New Roman"/>
          <w:b/>
          <w:color w:val="000000"/>
        </w:rPr>
      </w:pPr>
      <w:r w:rsidRPr="00EC25E8">
        <w:rPr>
          <w:rFonts w:ascii="Times New Roman" w:hAnsi="Times New Roman"/>
          <w:b/>
          <w:color w:val="000000"/>
        </w:rPr>
        <w:t>PREFEITU</w:t>
      </w:r>
      <w:r>
        <w:rPr>
          <w:rFonts w:ascii="Times New Roman" w:hAnsi="Times New Roman"/>
          <w:b/>
          <w:color w:val="000000"/>
        </w:rPr>
        <w:t>RA MUNICIPAL DE POUSO ALEGRE, 11</w:t>
      </w:r>
      <w:r w:rsidRPr="00EC25E8">
        <w:rPr>
          <w:rFonts w:ascii="Times New Roman" w:hAnsi="Times New Roman"/>
          <w:b/>
          <w:color w:val="000000"/>
        </w:rPr>
        <w:t xml:space="preserve"> DE </w:t>
      </w:r>
      <w:r>
        <w:rPr>
          <w:rFonts w:ascii="Times New Roman" w:hAnsi="Times New Roman"/>
          <w:b/>
          <w:color w:val="000000"/>
        </w:rPr>
        <w:t xml:space="preserve">SETEMBRO </w:t>
      </w:r>
      <w:r w:rsidRPr="00EC25E8">
        <w:rPr>
          <w:rFonts w:ascii="Times New Roman" w:hAnsi="Times New Roman"/>
          <w:b/>
          <w:color w:val="000000"/>
        </w:rPr>
        <w:t>DE 2014</w:t>
      </w:r>
      <w:r>
        <w:rPr>
          <w:rFonts w:ascii="Times New Roman" w:hAnsi="Times New Roman"/>
          <w:b/>
          <w:color w:val="000000"/>
        </w:rPr>
        <w:t>.</w:t>
      </w:r>
    </w:p>
    <w:p w:rsidR="00EC25E8" w:rsidRPr="00EC25E8" w:rsidRDefault="00EC25E8" w:rsidP="00EC25E8">
      <w:pPr>
        <w:spacing w:after="0" w:line="240" w:lineRule="auto"/>
        <w:ind w:left="2835"/>
        <w:rPr>
          <w:rFonts w:ascii="Times New Roman" w:hAnsi="Times New Roman"/>
          <w:color w:val="000000"/>
          <w:sz w:val="20"/>
        </w:rPr>
      </w:pPr>
    </w:p>
    <w:p w:rsidR="00EC25E8" w:rsidRPr="00EC25E8" w:rsidRDefault="00EC25E8" w:rsidP="00EC25E8">
      <w:pPr>
        <w:spacing w:after="0" w:line="240" w:lineRule="auto"/>
        <w:rPr>
          <w:rFonts w:ascii="Times New Roman" w:hAnsi="Times New Roman"/>
          <w:color w:val="000000"/>
        </w:rPr>
      </w:pPr>
    </w:p>
    <w:p w:rsidR="00EC25E8" w:rsidRPr="00EC25E8" w:rsidRDefault="00EC25E8" w:rsidP="00EC25E8">
      <w:pPr>
        <w:spacing w:after="0" w:line="240" w:lineRule="auto"/>
        <w:jc w:val="center"/>
        <w:rPr>
          <w:rFonts w:ascii="Times New Roman" w:hAnsi="Times New Roman"/>
          <w:b/>
          <w:color w:val="000000"/>
        </w:rPr>
      </w:pPr>
      <w:r w:rsidRPr="00EC25E8">
        <w:rPr>
          <w:rFonts w:ascii="Times New Roman" w:hAnsi="Times New Roman"/>
          <w:b/>
          <w:color w:val="000000"/>
        </w:rPr>
        <w:t xml:space="preserve">Agnaldo </w:t>
      </w:r>
      <w:proofErr w:type="spellStart"/>
      <w:r w:rsidRPr="00EC25E8">
        <w:rPr>
          <w:rFonts w:ascii="Times New Roman" w:hAnsi="Times New Roman"/>
          <w:b/>
          <w:color w:val="000000"/>
        </w:rPr>
        <w:t>Perugini</w:t>
      </w:r>
      <w:proofErr w:type="spellEnd"/>
    </w:p>
    <w:p w:rsidR="00EC25E8" w:rsidRPr="00EC25E8" w:rsidRDefault="00EC25E8" w:rsidP="00EC25E8">
      <w:pPr>
        <w:spacing w:after="0" w:line="240" w:lineRule="auto"/>
        <w:jc w:val="center"/>
        <w:rPr>
          <w:rFonts w:ascii="Times New Roman" w:hAnsi="Times New Roman"/>
          <w:b/>
          <w:color w:val="000000"/>
        </w:rPr>
      </w:pPr>
      <w:r w:rsidRPr="00EC25E8">
        <w:rPr>
          <w:rFonts w:ascii="Times New Roman" w:hAnsi="Times New Roman"/>
          <w:b/>
          <w:color w:val="000000"/>
        </w:rPr>
        <w:t>PREFEITO MUNICIPAL</w:t>
      </w:r>
    </w:p>
    <w:p w:rsidR="00EC25E8" w:rsidRPr="00EC25E8" w:rsidRDefault="00EC25E8" w:rsidP="00EC25E8">
      <w:pPr>
        <w:spacing w:after="0" w:line="240" w:lineRule="auto"/>
        <w:jc w:val="center"/>
        <w:rPr>
          <w:rFonts w:ascii="Times New Roman" w:hAnsi="Times New Roman"/>
          <w:b/>
          <w:color w:val="000000"/>
        </w:rPr>
      </w:pPr>
    </w:p>
    <w:p w:rsidR="00EC25E8" w:rsidRPr="00EC25E8" w:rsidRDefault="00EC25E8" w:rsidP="00EC25E8">
      <w:pPr>
        <w:spacing w:after="0" w:line="240" w:lineRule="auto"/>
        <w:jc w:val="center"/>
        <w:rPr>
          <w:rFonts w:ascii="Times New Roman" w:hAnsi="Times New Roman"/>
          <w:b/>
          <w:color w:val="000000"/>
        </w:rPr>
      </w:pPr>
      <w:r w:rsidRPr="00EC25E8">
        <w:rPr>
          <w:rFonts w:ascii="Times New Roman" w:hAnsi="Times New Roman"/>
          <w:b/>
          <w:color w:val="000000"/>
        </w:rPr>
        <w:t>Márcio José Faria</w:t>
      </w:r>
    </w:p>
    <w:p w:rsidR="00EC25E8" w:rsidRPr="00EC25E8" w:rsidRDefault="00EC25E8" w:rsidP="00EC25E8">
      <w:pPr>
        <w:spacing w:after="0" w:line="240" w:lineRule="auto"/>
        <w:jc w:val="center"/>
        <w:rPr>
          <w:rFonts w:ascii="Times New Roman" w:hAnsi="Times New Roman"/>
          <w:b/>
          <w:color w:val="000000"/>
        </w:rPr>
      </w:pPr>
      <w:r w:rsidRPr="00EC25E8">
        <w:rPr>
          <w:rFonts w:ascii="Times New Roman" w:hAnsi="Times New Roman"/>
          <w:b/>
          <w:color w:val="000000"/>
        </w:rPr>
        <w:t>CHEFE DE GABINETE</w:t>
      </w:r>
    </w:p>
    <w:p w:rsidR="00231E54" w:rsidRPr="00420D47" w:rsidRDefault="00231E54" w:rsidP="00420D47">
      <w:pPr>
        <w:jc w:val="center"/>
        <w:rPr>
          <w:rFonts w:ascii="Times New Roman" w:hAnsi="Times New Roman"/>
          <w:sz w:val="20"/>
          <w:szCs w:val="20"/>
        </w:rPr>
      </w:pPr>
    </w:p>
    <w:sectPr w:rsidR="00231E54" w:rsidRPr="00420D47" w:rsidSect="00420D47">
      <w:pgSz w:w="11906" w:h="16838"/>
      <w:pgMar w:top="2665" w:right="1701" w:bottom="130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0D47"/>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2373"/>
    <w:rsid w:val="00012612"/>
    <w:rsid w:val="00012FF2"/>
    <w:rsid w:val="00013155"/>
    <w:rsid w:val="00013FEB"/>
    <w:rsid w:val="00014B5F"/>
    <w:rsid w:val="00014CAE"/>
    <w:rsid w:val="00014EC1"/>
    <w:rsid w:val="000153C7"/>
    <w:rsid w:val="00015877"/>
    <w:rsid w:val="00016204"/>
    <w:rsid w:val="0001699A"/>
    <w:rsid w:val="00016FD2"/>
    <w:rsid w:val="00017267"/>
    <w:rsid w:val="000178F9"/>
    <w:rsid w:val="00017D38"/>
    <w:rsid w:val="00020AEA"/>
    <w:rsid w:val="00020AEC"/>
    <w:rsid w:val="00021125"/>
    <w:rsid w:val="00021C5A"/>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309E6"/>
    <w:rsid w:val="00031A57"/>
    <w:rsid w:val="00031AF7"/>
    <w:rsid w:val="00031B01"/>
    <w:rsid w:val="00031F39"/>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4CA"/>
    <w:rsid w:val="00057D0F"/>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33FE"/>
    <w:rsid w:val="0007476B"/>
    <w:rsid w:val="00074E32"/>
    <w:rsid w:val="000758EF"/>
    <w:rsid w:val="00075F30"/>
    <w:rsid w:val="0007607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D85"/>
    <w:rsid w:val="000A2DD2"/>
    <w:rsid w:val="000A3554"/>
    <w:rsid w:val="000A3B43"/>
    <w:rsid w:val="000A443F"/>
    <w:rsid w:val="000A4DFC"/>
    <w:rsid w:val="000A4F31"/>
    <w:rsid w:val="000A5028"/>
    <w:rsid w:val="000A5112"/>
    <w:rsid w:val="000A51F4"/>
    <w:rsid w:val="000A54AA"/>
    <w:rsid w:val="000A60C1"/>
    <w:rsid w:val="000A6A23"/>
    <w:rsid w:val="000A6E70"/>
    <w:rsid w:val="000A6F7A"/>
    <w:rsid w:val="000A73C8"/>
    <w:rsid w:val="000A77D1"/>
    <w:rsid w:val="000B02D2"/>
    <w:rsid w:val="000B0765"/>
    <w:rsid w:val="000B1605"/>
    <w:rsid w:val="000B19D4"/>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A59"/>
    <w:rsid w:val="000C2671"/>
    <w:rsid w:val="000C26F6"/>
    <w:rsid w:val="000C271F"/>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A2D"/>
    <w:rsid w:val="000D4C67"/>
    <w:rsid w:val="000D4C8A"/>
    <w:rsid w:val="000D5071"/>
    <w:rsid w:val="000D5211"/>
    <w:rsid w:val="000D57A1"/>
    <w:rsid w:val="000D5869"/>
    <w:rsid w:val="000E01B9"/>
    <w:rsid w:val="000E08E7"/>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6354"/>
    <w:rsid w:val="000F649C"/>
    <w:rsid w:val="000F6570"/>
    <w:rsid w:val="000F69D0"/>
    <w:rsid w:val="000F6ED5"/>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1665"/>
    <w:rsid w:val="00111EC8"/>
    <w:rsid w:val="00111F6F"/>
    <w:rsid w:val="001121FC"/>
    <w:rsid w:val="0011238D"/>
    <w:rsid w:val="0011262F"/>
    <w:rsid w:val="00112CA5"/>
    <w:rsid w:val="00112FFA"/>
    <w:rsid w:val="001130CD"/>
    <w:rsid w:val="00113271"/>
    <w:rsid w:val="001133B7"/>
    <w:rsid w:val="00113745"/>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961"/>
    <w:rsid w:val="00120CF3"/>
    <w:rsid w:val="00122425"/>
    <w:rsid w:val="001228E1"/>
    <w:rsid w:val="00122C36"/>
    <w:rsid w:val="00123907"/>
    <w:rsid w:val="00123924"/>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4EB4"/>
    <w:rsid w:val="00136E63"/>
    <w:rsid w:val="0013712B"/>
    <w:rsid w:val="00140822"/>
    <w:rsid w:val="00140FA7"/>
    <w:rsid w:val="001410ED"/>
    <w:rsid w:val="00141F7E"/>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DD2"/>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BA3"/>
    <w:rsid w:val="00197EA7"/>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11B7"/>
    <w:rsid w:val="001B13E3"/>
    <w:rsid w:val="001B1758"/>
    <w:rsid w:val="001B1E32"/>
    <w:rsid w:val="001B1F93"/>
    <w:rsid w:val="001B216F"/>
    <w:rsid w:val="001B2A1E"/>
    <w:rsid w:val="001B36E7"/>
    <w:rsid w:val="001B42F1"/>
    <w:rsid w:val="001B4730"/>
    <w:rsid w:val="001B4B88"/>
    <w:rsid w:val="001B50B6"/>
    <w:rsid w:val="001B576D"/>
    <w:rsid w:val="001C002D"/>
    <w:rsid w:val="001C03E7"/>
    <w:rsid w:val="001C0CE1"/>
    <w:rsid w:val="001C1335"/>
    <w:rsid w:val="001C1741"/>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50D0"/>
    <w:rsid w:val="001D544C"/>
    <w:rsid w:val="001D55C7"/>
    <w:rsid w:val="001D5B39"/>
    <w:rsid w:val="001D5E33"/>
    <w:rsid w:val="001D6062"/>
    <w:rsid w:val="001D6247"/>
    <w:rsid w:val="001D6E6E"/>
    <w:rsid w:val="001D767E"/>
    <w:rsid w:val="001D7822"/>
    <w:rsid w:val="001E01FE"/>
    <w:rsid w:val="001E0F85"/>
    <w:rsid w:val="001E11CE"/>
    <w:rsid w:val="001E191D"/>
    <w:rsid w:val="001E21D4"/>
    <w:rsid w:val="001E28C1"/>
    <w:rsid w:val="001E2A63"/>
    <w:rsid w:val="001E2DCF"/>
    <w:rsid w:val="001E37F9"/>
    <w:rsid w:val="001E3B70"/>
    <w:rsid w:val="001E4461"/>
    <w:rsid w:val="001E4B4B"/>
    <w:rsid w:val="001E4F38"/>
    <w:rsid w:val="001E5234"/>
    <w:rsid w:val="001E53F8"/>
    <w:rsid w:val="001E5915"/>
    <w:rsid w:val="001E60B4"/>
    <w:rsid w:val="001E6619"/>
    <w:rsid w:val="001E6E20"/>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DAC"/>
    <w:rsid w:val="00205E20"/>
    <w:rsid w:val="00207149"/>
    <w:rsid w:val="002071CF"/>
    <w:rsid w:val="00207455"/>
    <w:rsid w:val="002076A3"/>
    <w:rsid w:val="002078E1"/>
    <w:rsid w:val="00210B53"/>
    <w:rsid w:val="0021130A"/>
    <w:rsid w:val="00211C5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16B1"/>
    <w:rsid w:val="00221ABB"/>
    <w:rsid w:val="00221E53"/>
    <w:rsid w:val="00221F3D"/>
    <w:rsid w:val="00222290"/>
    <w:rsid w:val="00222354"/>
    <w:rsid w:val="0022336D"/>
    <w:rsid w:val="00223AF5"/>
    <w:rsid w:val="002241CA"/>
    <w:rsid w:val="002247B0"/>
    <w:rsid w:val="0022571F"/>
    <w:rsid w:val="00225A1D"/>
    <w:rsid w:val="00225ACA"/>
    <w:rsid w:val="00225D5A"/>
    <w:rsid w:val="00226132"/>
    <w:rsid w:val="0022613B"/>
    <w:rsid w:val="0022657C"/>
    <w:rsid w:val="00226C1B"/>
    <w:rsid w:val="00226C32"/>
    <w:rsid w:val="00227B39"/>
    <w:rsid w:val="00227F8F"/>
    <w:rsid w:val="00230C75"/>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BBE"/>
    <w:rsid w:val="00237F3C"/>
    <w:rsid w:val="00240563"/>
    <w:rsid w:val="002407CA"/>
    <w:rsid w:val="0024098F"/>
    <w:rsid w:val="00240B01"/>
    <w:rsid w:val="00240CD0"/>
    <w:rsid w:val="00240CE9"/>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BE"/>
    <w:rsid w:val="00252774"/>
    <w:rsid w:val="00252B9B"/>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6BE"/>
    <w:rsid w:val="00291B1F"/>
    <w:rsid w:val="002922EA"/>
    <w:rsid w:val="002923CE"/>
    <w:rsid w:val="002924DE"/>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119C"/>
    <w:rsid w:val="002A16EC"/>
    <w:rsid w:val="002A178B"/>
    <w:rsid w:val="002A2056"/>
    <w:rsid w:val="002A2553"/>
    <w:rsid w:val="002A271B"/>
    <w:rsid w:val="002A289C"/>
    <w:rsid w:val="002A2A43"/>
    <w:rsid w:val="002A2CEC"/>
    <w:rsid w:val="002A300B"/>
    <w:rsid w:val="002A3046"/>
    <w:rsid w:val="002A3149"/>
    <w:rsid w:val="002A3348"/>
    <w:rsid w:val="002A3439"/>
    <w:rsid w:val="002A391F"/>
    <w:rsid w:val="002A44F6"/>
    <w:rsid w:val="002A4A29"/>
    <w:rsid w:val="002A5480"/>
    <w:rsid w:val="002A5709"/>
    <w:rsid w:val="002A5C9D"/>
    <w:rsid w:val="002A6410"/>
    <w:rsid w:val="002A64FF"/>
    <w:rsid w:val="002A6F78"/>
    <w:rsid w:val="002A738F"/>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1804"/>
    <w:rsid w:val="002F18A5"/>
    <w:rsid w:val="002F267C"/>
    <w:rsid w:val="002F2864"/>
    <w:rsid w:val="002F2A10"/>
    <w:rsid w:val="002F3330"/>
    <w:rsid w:val="002F3830"/>
    <w:rsid w:val="002F395E"/>
    <w:rsid w:val="002F3D56"/>
    <w:rsid w:val="002F5C69"/>
    <w:rsid w:val="002F5F27"/>
    <w:rsid w:val="002F6447"/>
    <w:rsid w:val="002F6584"/>
    <w:rsid w:val="002F6C52"/>
    <w:rsid w:val="003004FE"/>
    <w:rsid w:val="00300FE9"/>
    <w:rsid w:val="0030166B"/>
    <w:rsid w:val="00301C46"/>
    <w:rsid w:val="003022AC"/>
    <w:rsid w:val="003022DB"/>
    <w:rsid w:val="00302680"/>
    <w:rsid w:val="003027A1"/>
    <w:rsid w:val="00302A9D"/>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459D"/>
    <w:rsid w:val="00324683"/>
    <w:rsid w:val="0032503F"/>
    <w:rsid w:val="00325125"/>
    <w:rsid w:val="00325E55"/>
    <w:rsid w:val="00326E6F"/>
    <w:rsid w:val="00327143"/>
    <w:rsid w:val="0032718E"/>
    <w:rsid w:val="00327E35"/>
    <w:rsid w:val="003300E5"/>
    <w:rsid w:val="003307C6"/>
    <w:rsid w:val="003307F4"/>
    <w:rsid w:val="003313C0"/>
    <w:rsid w:val="00331449"/>
    <w:rsid w:val="003319A2"/>
    <w:rsid w:val="00331FB4"/>
    <w:rsid w:val="00332084"/>
    <w:rsid w:val="003324B9"/>
    <w:rsid w:val="00332A2B"/>
    <w:rsid w:val="00332EC2"/>
    <w:rsid w:val="00333320"/>
    <w:rsid w:val="003334CB"/>
    <w:rsid w:val="00333761"/>
    <w:rsid w:val="00333BA8"/>
    <w:rsid w:val="0033452B"/>
    <w:rsid w:val="00334549"/>
    <w:rsid w:val="00334B21"/>
    <w:rsid w:val="00334F2F"/>
    <w:rsid w:val="00334F37"/>
    <w:rsid w:val="0033616B"/>
    <w:rsid w:val="0033626D"/>
    <w:rsid w:val="00337772"/>
    <w:rsid w:val="0033797F"/>
    <w:rsid w:val="00337A94"/>
    <w:rsid w:val="00337B2F"/>
    <w:rsid w:val="00340440"/>
    <w:rsid w:val="00340925"/>
    <w:rsid w:val="00340995"/>
    <w:rsid w:val="003414CA"/>
    <w:rsid w:val="00342F1F"/>
    <w:rsid w:val="00343F3F"/>
    <w:rsid w:val="003442C4"/>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7559"/>
    <w:rsid w:val="00357BD6"/>
    <w:rsid w:val="0036012B"/>
    <w:rsid w:val="00360840"/>
    <w:rsid w:val="0036117F"/>
    <w:rsid w:val="00362226"/>
    <w:rsid w:val="00363C45"/>
    <w:rsid w:val="003642A5"/>
    <w:rsid w:val="003643EE"/>
    <w:rsid w:val="00364CC4"/>
    <w:rsid w:val="0036540F"/>
    <w:rsid w:val="00366576"/>
    <w:rsid w:val="003671C4"/>
    <w:rsid w:val="00367ECD"/>
    <w:rsid w:val="00370E14"/>
    <w:rsid w:val="00371116"/>
    <w:rsid w:val="00371780"/>
    <w:rsid w:val="0037221A"/>
    <w:rsid w:val="00372A85"/>
    <w:rsid w:val="0037324B"/>
    <w:rsid w:val="0037351E"/>
    <w:rsid w:val="00373C07"/>
    <w:rsid w:val="0037486E"/>
    <w:rsid w:val="00374F74"/>
    <w:rsid w:val="0037508E"/>
    <w:rsid w:val="0037538B"/>
    <w:rsid w:val="00375A25"/>
    <w:rsid w:val="00375B01"/>
    <w:rsid w:val="00375C50"/>
    <w:rsid w:val="003764B2"/>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746"/>
    <w:rsid w:val="00394C66"/>
    <w:rsid w:val="00394CC5"/>
    <w:rsid w:val="003961A6"/>
    <w:rsid w:val="003963F5"/>
    <w:rsid w:val="003A06B9"/>
    <w:rsid w:val="003A0AF8"/>
    <w:rsid w:val="003A0D37"/>
    <w:rsid w:val="003A187A"/>
    <w:rsid w:val="003A1B04"/>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452F"/>
    <w:rsid w:val="003C4590"/>
    <w:rsid w:val="003C4969"/>
    <w:rsid w:val="003C49A9"/>
    <w:rsid w:val="003C4B2C"/>
    <w:rsid w:val="003C4C51"/>
    <w:rsid w:val="003C4D8D"/>
    <w:rsid w:val="003C4ED1"/>
    <w:rsid w:val="003C5C75"/>
    <w:rsid w:val="003C5D93"/>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4AC"/>
    <w:rsid w:val="003D6AEE"/>
    <w:rsid w:val="003D7814"/>
    <w:rsid w:val="003D788C"/>
    <w:rsid w:val="003D7A2D"/>
    <w:rsid w:val="003D7DC8"/>
    <w:rsid w:val="003D7EF2"/>
    <w:rsid w:val="003D7EF5"/>
    <w:rsid w:val="003E165E"/>
    <w:rsid w:val="003E1961"/>
    <w:rsid w:val="003E2CEE"/>
    <w:rsid w:val="003E348F"/>
    <w:rsid w:val="003E4346"/>
    <w:rsid w:val="003E493B"/>
    <w:rsid w:val="003E4968"/>
    <w:rsid w:val="003E5534"/>
    <w:rsid w:val="003E5C4D"/>
    <w:rsid w:val="003E5D4A"/>
    <w:rsid w:val="003E6104"/>
    <w:rsid w:val="003E630B"/>
    <w:rsid w:val="003E6690"/>
    <w:rsid w:val="003E6A7F"/>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D06"/>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0D47"/>
    <w:rsid w:val="004216BE"/>
    <w:rsid w:val="004218A0"/>
    <w:rsid w:val="0042190B"/>
    <w:rsid w:val="00421A6D"/>
    <w:rsid w:val="00421D57"/>
    <w:rsid w:val="00421F21"/>
    <w:rsid w:val="00422059"/>
    <w:rsid w:val="004224FE"/>
    <w:rsid w:val="00423D9A"/>
    <w:rsid w:val="00425D15"/>
    <w:rsid w:val="00425D3A"/>
    <w:rsid w:val="00426BDE"/>
    <w:rsid w:val="00426BF0"/>
    <w:rsid w:val="004279BB"/>
    <w:rsid w:val="004300AC"/>
    <w:rsid w:val="004304C9"/>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E5B"/>
    <w:rsid w:val="00441258"/>
    <w:rsid w:val="004420EA"/>
    <w:rsid w:val="00442C19"/>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5606"/>
    <w:rsid w:val="00456275"/>
    <w:rsid w:val="004564CD"/>
    <w:rsid w:val="00456516"/>
    <w:rsid w:val="0045661B"/>
    <w:rsid w:val="00456D78"/>
    <w:rsid w:val="00456FE3"/>
    <w:rsid w:val="004573F8"/>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67A"/>
    <w:rsid w:val="004957E9"/>
    <w:rsid w:val="00495C2F"/>
    <w:rsid w:val="004962F9"/>
    <w:rsid w:val="00497225"/>
    <w:rsid w:val="004A0B3C"/>
    <w:rsid w:val="004A127F"/>
    <w:rsid w:val="004A1C9D"/>
    <w:rsid w:val="004A20A4"/>
    <w:rsid w:val="004A237D"/>
    <w:rsid w:val="004A29D3"/>
    <w:rsid w:val="004A2AA8"/>
    <w:rsid w:val="004A2C56"/>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C8"/>
    <w:rsid w:val="004C65FA"/>
    <w:rsid w:val="004C6A1B"/>
    <w:rsid w:val="004C7B30"/>
    <w:rsid w:val="004C7ED4"/>
    <w:rsid w:val="004D00A0"/>
    <w:rsid w:val="004D0A5C"/>
    <w:rsid w:val="004D112B"/>
    <w:rsid w:val="004D1DCD"/>
    <w:rsid w:val="004D3513"/>
    <w:rsid w:val="004D3E72"/>
    <w:rsid w:val="004D3FE9"/>
    <w:rsid w:val="004D4544"/>
    <w:rsid w:val="004D47E4"/>
    <w:rsid w:val="004D5146"/>
    <w:rsid w:val="004D5408"/>
    <w:rsid w:val="004D66BA"/>
    <w:rsid w:val="004D6707"/>
    <w:rsid w:val="004D74EE"/>
    <w:rsid w:val="004D7F78"/>
    <w:rsid w:val="004E0076"/>
    <w:rsid w:val="004E0D25"/>
    <w:rsid w:val="004E16D6"/>
    <w:rsid w:val="004E1ADC"/>
    <w:rsid w:val="004E224F"/>
    <w:rsid w:val="004E2945"/>
    <w:rsid w:val="004E2FDC"/>
    <w:rsid w:val="004E3244"/>
    <w:rsid w:val="004E3420"/>
    <w:rsid w:val="004E42E5"/>
    <w:rsid w:val="004E4A74"/>
    <w:rsid w:val="004E4AEA"/>
    <w:rsid w:val="004E5635"/>
    <w:rsid w:val="004E5A31"/>
    <w:rsid w:val="004E5F79"/>
    <w:rsid w:val="004E60D4"/>
    <w:rsid w:val="004E76FC"/>
    <w:rsid w:val="004E7EC2"/>
    <w:rsid w:val="004F1328"/>
    <w:rsid w:val="004F21E2"/>
    <w:rsid w:val="004F2CDC"/>
    <w:rsid w:val="004F30AD"/>
    <w:rsid w:val="004F37A0"/>
    <w:rsid w:val="004F393D"/>
    <w:rsid w:val="004F4184"/>
    <w:rsid w:val="004F4B44"/>
    <w:rsid w:val="004F4EB0"/>
    <w:rsid w:val="004F57ED"/>
    <w:rsid w:val="004F59E4"/>
    <w:rsid w:val="004F5B41"/>
    <w:rsid w:val="004F6156"/>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955"/>
    <w:rsid w:val="0050397F"/>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D8B"/>
    <w:rsid w:val="00515063"/>
    <w:rsid w:val="005158CF"/>
    <w:rsid w:val="00516803"/>
    <w:rsid w:val="005169AC"/>
    <w:rsid w:val="00516AE6"/>
    <w:rsid w:val="005178FE"/>
    <w:rsid w:val="00517A56"/>
    <w:rsid w:val="00520D12"/>
    <w:rsid w:val="00520E65"/>
    <w:rsid w:val="005212E9"/>
    <w:rsid w:val="0052142B"/>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7F0"/>
    <w:rsid w:val="00554C14"/>
    <w:rsid w:val="0055538F"/>
    <w:rsid w:val="00555CA7"/>
    <w:rsid w:val="0055659C"/>
    <w:rsid w:val="00556A2A"/>
    <w:rsid w:val="00557685"/>
    <w:rsid w:val="00557781"/>
    <w:rsid w:val="00557AC5"/>
    <w:rsid w:val="005606C6"/>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C0"/>
    <w:rsid w:val="00596D92"/>
    <w:rsid w:val="00597469"/>
    <w:rsid w:val="005A0B60"/>
    <w:rsid w:val="005A0F1C"/>
    <w:rsid w:val="005A1213"/>
    <w:rsid w:val="005A1856"/>
    <w:rsid w:val="005A19DD"/>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93C"/>
    <w:rsid w:val="005A7B46"/>
    <w:rsid w:val="005A7CAE"/>
    <w:rsid w:val="005B16B7"/>
    <w:rsid w:val="005B2285"/>
    <w:rsid w:val="005B2717"/>
    <w:rsid w:val="005B2BF3"/>
    <w:rsid w:val="005B3382"/>
    <w:rsid w:val="005B34A7"/>
    <w:rsid w:val="005B364B"/>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CC4"/>
    <w:rsid w:val="005C1052"/>
    <w:rsid w:val="005C1393"/>
    <w:rsid w:val="005C13C6"/>
    <w:rsid w:val="005C199E"/>
    <w:rsid w:val="005C2EF3"/>
    <w:rsid w:val="005C34F0"/>
    <w:rsid w:val="005C3C3B"/>
    <w:rsid w:val="005C5225"/>
    <w:rsid w:val="005C5E63"/>
    <w:rsid w:val="005C6E2C"/>
    <w:rsid w:val="005C6EF8"/>
    <w:rsid w:val="005C77B4"/>
    <w:rsid w:val="005D02A0"/>
    <w:rsid w:val="005D04C4"/>
    <w:rsid w:val="005D04D3"/>
    <w:rsid w:val="005D0CDA"/>
    <w:rsid w:val="005D10B3"/>
    <w:rsid w:val="005D1217"/>
    <w:rsid w:val="005D14B1"/>
    <w:rsid w:val="005D14F7"/>
    <w:rsid w:val="005D1C80"/>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AE6"/>
    <w:rsid w:val="00623CD4"/>
    <w:rsid w:val="00624733"/>
    <w:rsid w:val="00624BF0"/>
    <w:rsid w:val="0062516D"/>
    <w:rsid w:val="00625640"/>
    <w:rsid w:val="0062568E"/>
    <w:rsid w:val="00625933"/>
    <w:rsid w:val="00625D7B"/>
    <w:rsid w:val="00625FD1"/>
    <w:rsid w:val="006263F1"/>
    <w:rsid w:val="006268CC"/>
    <w:rsid w:val="0062692E"/>
    <w:rsid w:val="00627676"/>
    <w:rsid w:val="00627A1A"/>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8C4"/>
    <w:rsid w:val="006469D4"/>
    <w:rsid w:val="006500A8"/>
    <w:rsid w:val="00650318"/>
    <w:rsid w:val="00651104"/>
    <w:rsid w:val="006512B6"/>
    <w:rsid w:val="00651AC5"/>
    <w:rsid w:val="00651F6E"/>
    <w:rsid w:val="0065230E"/>
    <w:rsid w:val="00652E2D"/>
    <w:rsid w:val="006532F9"/>
    <w:rsid w:val="006534A5"/>
    <w:rsid w:val="00653CA8"/>
    <w:rsid w:val="00653D12"/>
    <w:rsid w:val="00654028"/>
    <w:rsid w:val="00654686"/>
    <w:rsid w:val="00654BD1"/>
    <w:rsid w:val="00655063"/>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2F1"/>
    <w:rsid w:val="00691791"/>
    <w:rsid w:val="00691C06"/>
    <w:rsid w:val="006923DD"/>
    <w:rsid w:val="006928B2"/>
    <w:rsid w:val="00692E45"/>
    <w:rsid w:val="00693DF5"/>
    <w:rsid w:val="00694073"/>
    <w:rsid w:val="006943F8"/>
    <w:rsid w:val="00694A4A"/>
    <w:rsid w:val="00694B2F"/>
    <w:rsid w:val="0069535B"/>
    <w:rsid w:val="0069591E"/>
    <w:rsid w:val="0069657A"/>
    <w:rsid w:val="00696ABB"/>
    <w:rsid w:val="00696CDC"/>
    <w:rsid w:val="00696EE1"/>
    <w:rsid w:val="006971F3"/>
    <w:rsid w:val="00697322"/>
    <w:rsid w:val="00697C70"/>
    <w:rsid w:val="00697C9E"/>
    <w:rsid w:val="00697F1F"/>
    <w:rsid w:val="006A0489"/>
    <w:rsid w:val="006A0B60"/>
    <w:rsid w:val="006A0E50"/>
    <w:rsid w:val="006A1CEE"/>
    <w:rsid w:val="006A1E19"/>
    <w:rsid w:val="006A2005"/>
    <w:rsid w:val="006A2094"/>
    <w:rsid w:val="006A22BB"/>
    <w:rsid w:val="006A26D1"/>
    <w:rsid w:val="006A29FB"/>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6341"/>
    <w:rsid w:val="007065BB"/>
    <w:rsid w:val="007068A8"/>
    <w:rsid w:val="00706B58"/>
    <w:rsid w:val="00706B75"/>
    <w:rsid w:val="007070C2"/>
    <w:rsid w:val="00707D4C"/>
    <w:rsid w:val="00707E12"/>
    <w:rsid w:val="00710FDF"/>
    <w:rsid w:val="0071135E"/>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44FB"/>
    <w:rsid w:val="0072467D"/>
    <w:rsid w:val="00724743"/>
    <w:rsid w:val="00724A12"/>
    <w:rsid w:val="0072575D"/>
    <w:rsid w:val="00725835"/>
    <w:rsid w:val="00725F3C"/>
    <w:rsid w:val="00726108"/>
    <w:rsid w:val="007261E3"/>
    <w:rsid w:val="007262D3"/>
    <w:rsid w:val="00726F05"/>
    <w:rsid w:val="007270D2"/>
    <w:rsid w:val="00727117"/>
    <w:rsid w:val="00727BAB"/>
    <w:rsid w:val="007302C3"/>
    <w:rsid w:val="00731026"/>
    <w:rsid w:val="00731AFB"/>
    <w:rsid w:val="00732DF3"/>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403B6"/>
    <w:rsid w:val="00740538"/>
    <w:rsid w:val="0074063D"/>
    <w:rsid w:val="00740661"/>
    <w:rsid w:val="007408F2"/>
    <w:rsid w:val="00741073"/>
    <w:rsid w:val="00741933"/>
    <w:rsid w:val="007420AF"/>
    <w:rsid w:val="00742274"/>
    <w:rsid w:val="0074240D"/>
    <w:rsid w:val="007424B3"/>
    <w:rsid w:val="007428CB"/>
    <w:rsid w:val="00742F7B"/>
    <w:rsid w:val="00744535"/>
    <w:rsid w:val="00745107"/>
    <w:rsid w:val="007452E8"/>
    <w:rsid w:val="007464AF"/>
    <w:rsid w:val="00747392"/>
    <w:rsid w:val="00747767"/>
    <w:rsid w:val="00747A9F"/>
    <w:rsid w:val="007502D0"/>
    <w:rsid w:val="007509C0"/>
    <w:rsid w:val="0075118E"/>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C2"/>
    <w:rsid w:val="00776A56"/>
    <w:rsid w:val="00776CE0"/>
    <w:rsid w:val="007771CC"/>
    <w:rsid w:val="00780175"/>
    <w:rsid w:val="007805BC"/>
    <w:rsid w:val="00780700"/>
    <w:rsid w:val="00780CB1"/>
    <w:rsid w:val="00781D7D"/>
    <w:rsid w:val="007823B3"/>
    <w:rsid w:val="00782B78"/>
    <w:rsid w:val="007834EB"/>
    <w:rsid w:val="00784018"/>
    <w:rsid w:val="0078426A"/>
    <w:rsid w:val="007842A7"/>
    <w:rsid w:val="00784308"/>
    <w:rsid w:val="007845F3"/>
    <w:rsid w:val="00784C89"/>
    <w:rsid w:val="00784F98"/>
    <w:rsid w:val="00785106"/>
    <w:rsid w:val="007858CC"/>
    <w:rsid w:val="00785A32"/>
    <w:rsid w:val="00786249"/>
    <w:rsid w:val="00787215"/>
    <w:rsid w:val="00787260"/>
    <w:rsid w:val="0078772F"/>
    <w:rsid w:val="00787798"/>
    <w:rsid w:val="0079078D"/>
    <w:rsid w:val="00790EC1"/>
    <w:rsid w:val="00791016"/>
    <w:rsid w:val="007913FE"/>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A6"/>
    <w:rsid w:val="007A4313"/>
    <w:rsid w:val="007A4DBC"/>
    <w:rsid w:val="007A51AC"/>
    <w:rsid w:val="007A5394"/>
    <w:rsid w:val="007A56D4"/>
    <w:rsid w:val="007A5AAA"/>
    <w:rsid w:val="007A64A8"/>
    <w:rsid w:val="007A66B3"/>
    <w:rsid w:val="007A6833"/>
    <w:rsid w:val="007A6CDF"/>
    <w:rsid w:val="007A7188"/>
    <w:rsid w:val="007B020F"/>
    <w:rsid w:val="007B0510"/>
    <w:rsid w:val="007B0BFB"/>
    <w:rsid w:val="007B2820"/>
    <w:rsid w:val="007B2886"/>
    <w:rsid w:val="007B3A86"/>
    <w:rsid w:val="007B3F9E"/>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BD9"/>
    <w:rsid w:val="007D7F74"/>
    <w:rsid w:val="007E02A6"/>
    <w:rsid w:val="007E02E8"/>
    <w:rsid w:val="007E135C"/>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A46"/>
    <w:rsid w:val="007F6467"/>
    <w:rsid w:val="007F6A4C"/>
    <w:rsid w:val="007F6EDD"/>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2E4"/>
    <w:rsid w:val="00805056"/>
    <w:rsid w:val="00805314"/>
    <w:rsid w:val="00805784"/>
    <w:rsid w:val="0080659F"/>
    <w:rsid w:val="008069CD"/>
    <w:rsid w:val="00806C42"/>
    <w:rsid w:val="00807A11"/>
    <w:rsid w:val="00807A69"/>
    <w:rsid w:val="00810020"/>
    <w:rsid w:val="008101F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F85"/>
    <w:rsid w:val="008276BE"/>
    <w:rsid w:val="008276C6"/>
    <w:rsid w:val="008279AB"/>
    <w:rsid w:val="00827EA4"/>
    <w:rsid w:val="008303EA"/>
    <w:rsid w:val="00830E94"/>
    <w:rsid w:val="00831028"/>
    <w:rsid w:val="008312E8"/>
    <w:rsid w:val="0083218C"/>
    <w:rsid w:val="008321BE"/>
    <w:rsid w:val="0083235A"/>
    <w:rsid w:val="008341D6"/>
    <w:rsid w:val="0083496D"/>
    <w:rsid w:val="00834C75"/>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333E"/>
    <w:rsid w:val="008433B6"/>
    <w:rsid w:val="00844142"/>
    <w:rsid w:val="008442E4"/>
    <w:rsid w:val="008446EE"/>
    <w:rsid w:val="008449CC"/>
    <w:rsid w:val="00845242"/>
    <w:rsid w:val="0084525E"/>
    <w:rsid w:val="00845874"/>
    <w:rsid w:val="00845BFB"/>
    <w:rsid w:val="00847668"/>
    <w:rsid w:val="00847775"/>
    <w:rsid w:val="00847932"/>
    <w:rsid w:val="00847948"/>
    <w:rsid w:val="00850081"/>
    <w:rsid w:val="008503E8"/>
    <w:rsid w:val="00850A9C"/>
    <w:rsid w:val="00850B0D"/>
    <w:rsid w:val="00850BDF"/>
    <w:rsid w:val="00850FEE"/>
    <w:rsid w:val="00851268"/>
    <w:rsid w:val="00851583"/>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1DA"/>
    <w:rsid w:val="0085776C"/>
    <w:rsid w:val="0086069B"/>
    <w:rsid w:val="00860C8C"/>
    <w:rsid w:val="00860D3D"/>
    <w:rsid w:val="00860E06"/>
    <w:rsid w:val="00861373"/>
    <w:rsid w:val="0086160F"/>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4C8"/>
    <w:rsid w:val="0087465E"/>
    <w:rsid w:val="00874944"/>
    <w:rsid w:val="0087510C"/>
    <w:rsid w:val="0087517C"/>
    <w:rsid w:val="00875DFA"/>
    <w:rsid w:val="00876088"/>
    <w:rsid w:val="008764D6"/>
    <w:rsid w:val="0087657B"/>
    <w:rsid w:val="008766F5"/>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ED"/>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B77"/>
    <w:rsid w:val="00892D5A"/>
    <w:rsid w:val="00893069"/>
    <w:rsid w:val="00893328"/>
    <w:rsid w:val="00893543"/>
    <w:rsid w:val="0089360A"/>
    <w:rsid w:val="00893626"/>
    <w:rsid w:val="00894120"/>
    <w:rsid w:val="00894907"/>
    <w:rsid w:val="00895267"/>
    <w:rsid w:val="00896991"/>
    <w:rsid w:val="00896CDC"/>
    <w:rsid w:val="0089741B"/>
    <w:rsid w:val="0089783D"/>
    <w:rsid w:val="00897DCB"/>
    <w:rsid w:val="008A0577"/>
    <w:rsid w:val="008A09D4"/>
    <w:rsid w:val="008A0D7A"/>
    <w:rsid w:val="008A135B"/>
    <w:rsid w:val="008A16F2"/>
    <w:rsid w:val="008A23F2"/>
    <w:rsid w:val="008A2A56"/>
    <w:rsid w:val="008A2B80"/>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522F"/>
    <w:rsid w:val="008D58B1"/>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F11"/>
    <w:rsid w:val="008E61DA"/>
    <w:rsid w:val="008E62EA"/>
    <w:rsid w:val="008E6881"/>
    <w:rsid w:val="008E6D1E"/>
    <w:rsid w:val="008E7476"/>
    <w:rsid w:val="008E7B67"/>
    <w:rsid w:val="008E7C82"/>
    <w:rsid w:val="008E7EEC"/>
    <w:rsid w:val="008F040A"/>
    <w:rsid w:val="008F119F"/>
    <w:rsid w:val="008F13B6"/>
    <w:rsid w:val="008F14BF"/>
    <w:rsid w:val="008F14D6"/>
    <w:rsid w:val="008F2C6D"/>
    <w:rsid w:val="008F32AD"/>
    <w:rsid w:val="008F33FA"/>
    <w:rsid w:val="008F3A86"/>
    <w:rsid w:val="008F3EFB"/>
    <w:rsid w:val="008F427C"/>
    <w:rsid w:val="008F436A"/>
    <w:rsid w:val="008F4970"/>
    <w:rsid w:val="008F4DCF"/>
    <w:rsid w:val="008F4DD2"/>
    <w:rsid w:val="008F4E2C"/>
    <w:rsid w:val="008F4FB8"/>
    <w:rsid w:val="008F4FD5"/>
    <w:rsid w:val="008F5238"/>
    <w:rsid w:val="008F5F4C"/>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C46"/>
    <w:rsid w:val="00905406"/>
    <w:rsid w:val="00905FF4"/>
    <w:rsid w:val="0090623D"/>
    <w:rsid w:val="00906438"/>
    <w:rsid w:val="00906EDE"/>
    <w:rsid w:val="0090701B"/>
    <w:rsid w:val="0090718C"/>
    <w:rsid w:val="009071A4"/>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72E5"/>
    <w:rsid w:val="009475EB"/>
    <w:rsid w:val="0095002A"/>
    <w:rsid w:val="00950780"/>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ED9"/>
    <w:rsid w:val="00955960"/>
    <w:rsid w:val="00955C73"/>
    <w:rsid w:val="00955D77"/>
    <w:rsid w:val="00955FC8"/>
    <w:rsid w:val="009560D1"/>
    <w:rsid w:val="0095631C"/>
    <w:rsid w:val="00956560"/>
    <w:rsid w:val="00956A12"/>
    <w:rsid w:val="00956DB7"/>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6BC3"/>
    <w:rsid w:val="00997233"/>
    <w:rsid w:val="00997375"/>
    <w:rsid w:val="0099748A"/>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75"/>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CA1"/>
    <w:rsid w:val="00A10D93"/>
    <w:rsid w:val="00A10DBE"/>
    <w:rsid w:val="00A10F6E"/>
    <w:rsid w:val="00A1158D"/>
    <w:rsid w:val="00A1237B"/>
    <w:rsid w:val="00A12CB7"/>
    <w:rsid w:val="00A12ED3"/>
    <w:rsid w:val="00A1394D"/>
    <w:rsid w:val="00A13C31"/>
    <w:rsid w:val="00A13E3D"/>
    <w:rsid w:val="00A14101"/>
    <w:rsid w:val="00A146A0"/>
    <w:rsid w:val="00A1488D"/>
    <w:rsid w:val="00A15423"/>
    <w:rsid w:val="00A1560C"/>
    <w:rsid w:val="00A165FE"/>
    <w:rsid w:val="00A1661C"/>
    <w:rsid w:val="00A167D9"/>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1B79"/>
    <w:rsid w:val="00A51CC4"/>
    <w:rsid w:val="00A520BC"/>
    <w:rsid w:val="00A527E1"/>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D93"/>
    <w:rsid w:val="00A6300F"/>
    <w:rsid w:val="00A633B5"/>
    <w:rsid w:val="00A637C8"/>
    <w:rsid w:val="00A63804"/>
    <w:rsid w:val="00A63F0E"/>
    <w:rsid w:val="00A63F27"/>
    <w:rsid w:val="00A647DB"/>
    <w:rsid w:val="00A64DEA"/>
    <w:rsid w:val="00A65AE1"/>
    <w:rsid w:val="00A6604A"/>
    <w:rsid w:val="00A6617D"/>
    <w:rsid w:val="00A66344"/>
    <w:rsid w:val="00A66B6A"/>
    <w:rsid w:val="00A66D7C"/>
    <w:rsid w:val="00A67304"/>
    <w:rsid w:val="00A6795F"/>
    <w:rsid w:val="00A67B35"/>
    <w:rsid w:val="00A67E98"/>
    <w:rsid w:val="00A67FDD"/>
    <w:rsid w:val="00A67FEF"/>
    <w:rsid w:val="00A70A07"/>
    <w:rsid w:val="00A71330"/>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7E"/>
    <w:rsid w:val="00A84D44"/>
    <w:rsid w:val="00A85189"/>
    <w:rsid w:val="00A85A59"/>
    <w:rsid w:val="00A85AD7"/>
    <w:rsid w:val="00A862BE"/>
    <w:rsid w:val="00A869FD"/>
    <w:rsid w:val="00A87089"/>
    <w:rsid w:val="00A8732D"/>
    <w:rsid w:val="00A877DA"/>
    <w:rsid w:val="00A9008A"/>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680"/>
    <w:rsid w:val="00AD0814"/>
    <w:rsid w:val="00AD0FCB"/>
    <w:rsid w:val="00AD1197"/>
    <w:rsid w:val="00AD128A"/>
    <w:rsid w:val="00AD1573"/>
    <w:rsid w:val="00AD1A96"/>
    <w:rsid w:val="00AD28F4"/>
    <w:rsid w:val="00AD3163"/>
    <w:rsid w:val="00AD320B"/>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A7B"/>
    <w:rsid w:val="00B01B73"/>
    <w:rsid w:val="00B01B7F"/>
    <w:rsid w:val="00B021A3"/>
    <w:rsid w:val="00B02F0A"/>
    <w:rsid w:val="00B0321D"/>
    <w:rsid w:val="00B03613"/>
    <w:rsid w:val="00B04BB1"/>
    <w:rsid w:val="00B050EC"/>
    <w:rsid w:val="00B05FD4"/>
    <w:rsid w:val="00B06405"/>
    <w:rsid w:val="00B06A0A"/>
    <w:rsid w:val="00B06E12"/>
    <w:rsid w:val="00B06F93"/>
    <w:rsid w:val="00B071F4"/>
    <w:rsid w:val="00B072C0"/>
    <w:rsid w:val="00B103B1"/>
    <w:rsid w:val="00B10563"/>
    <w:rsid w:val="00B11089"/>
    <w:rsid w:val="00B112C3"/>
    <w:rsid w:val="00B117AE"/>
    <w:rsid w:val="00B119CF"/>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60A"/>
    <w:rsid w:val="00B16D8B"/>
    <w:rsid w:val="00B17301"/>
    <w:rsid w:val="00B173F4"/>
    <w:rsid w:val="00B1779E"/>
    <w:rsid w:val="00B17800"/>
    <w:rsid w:val="00B204D1"/>
    <w:rsid w:val="00B207F6"/>
    <w:rsid w:val="00B20E49"/>
    <w:rsid w:val="00B2197A"/>
    <w:rsid w:val="00B22576"/>
    <w:rsid w:val="00B22ADA"/>
    <w:rsid w:val="00B22DE5"/>
    <w:rsid w:val="00B23142"/>
    <w:rsid w:val="00B235B4"/>
    <w:rsid w:val="00B23C2B"/>
    <w:rsid w:val="00B244E4"/>
    <w:rsid w:val="00B24A5F"/>
    <w:rsid w:val="00B252DA"/>
    <w:rsid w:val="00B25A47"/>
    <w:rsid w:val="00B25ED9"/>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CC"/>
    <w:rsid w:val="00B454F2"/>
    <w:rsid w:val="00B460F0"/>
    <w:rsid w:val="00B46394"/>
    <w:rsid w:val="00B46453"/>
    <w:rsid w:val="00B467E9"/>
    <w:rsid w:val="00B4695A"/>
    <w:rsid w:val="00B46F63"/>
    <w:rsid w:val="00B4788D"/>
    <w:rsid w:val="00B503BD"/>
    <w:rsid w:val="00B504C7"/>
    <w:rsid w:val="00B50954"/>
    <w:rsid w:val="00B51173"/>
    <w:rsid w:val="00B52652"/>
    <w:rsid w:val="00B526A4"/>
    <w:rsid w:val="00B5272B"/>
    <w:rsid w:val="00B5296A"/>
    <w:rsid w:val="00B52D18"/>
    <w:rsid w:val="00B530DF"/>
    <w:rsid w:val="00B54A6C"/>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0A4"/>
    <w:rsid w:val="00B7015D"/>
    <w:rsid w:val="00B70A85"/>
    <w:rsid w:val="00B716A7"/>
    <w:rsid w:val="00B722B1"/>
    <w:rsid w:val="00B73627"/>
    <w:rsid w:val="00B73A59"/>
    <w:rsid w:val="00B73AB4"/>
    <w:rsid w:val="00B73C61"/>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9C0"/>
    <w:rsid w:val="00BA5A18"/>
    <w:rsid w:val="00BA5ACE"/>
    <w:rsid w:val="00BA5CB6"/>
    <w:rsid w:val="00BA5FFB"/>
    <w:rsid w:val="00BA688C"/>
    <w:rsid w:val="00BA7A94"/>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A30"/>
    <w:rsid w:val="00BD63AF"/>
    <w:rsid w:val="00BD6D77"/>
    <w:rsid w:val="00BD7256"/>
    <w:rsid w:val="00BD7CFC"/>
    <w:rsid w:val="00BD7F29"/>
    <w:rsid w:val="00BE01D6"/>
    <w:rsid w:val="00BE04BC"/>
    <w:rsid w:val="00BE0892"/>
    <w:rsid w:val="00BE0C62"/>
    <w:rsid w:val="00BE0FB7"/>
    <w:rsid w:val="00BE1204"/>
    <w:rsid w:val="00BE287A"/>
    <w:rsid w:val="00BE3E4D"/>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3A1E"/>
    <w:rsid w:val="00BF3F3E"/>
    <w:rsid w:val="00BF3F66"/>
    <w:rsid w:val="00BF43A3"/>
    <w:rsid w:val="00BF4860"/>
    <w:rsid w:val="00BF4E55"/>
    <w:rsid w:val="00BF52B8"/>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A87"/>
    <w:rsid w:val="00C13B39"/>
    <w:rsid w:val="00C13E4A"/>
    <w:rsid w:val="00C14146"/>
    <w:rsid w:val="00C14AA7"/>
    <w:rsid w:val="00C14F88"/>
    <w:rsid w:val="00C160E1"/>
    <w:rsid w:val="00C162F6"/>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303A"/>
    <w:rsid w:val="00C239B9"/>
    <w:rsid w:val="00C23C8A"/>
    <w:rsid w:val="00C24607"/>
    <w:rsid w:val="00C2480B"/>
    <w:rsid w:val="00C2499A"/>
    <w:rsid w:val="00C252E7"/>
    <w:rsid w:val="00C258F6"/>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9DF"/>
    <w:rsid w:val="00C62C61"/>
    <w:rsid w:val="00C62C6A"/>
    <w:rsid w:val="00C62F19"/>
    <w:rsid w:val="00C63022"/>
    <w:rsid w:val="00C630D0"/>
    <w:rsid w:val="00C63681"/>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66DB"/>
    <w:rsid w:val="00C76AE4"/>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220C"/>
    <w:rsid w:val="00CD26E7"/>
    <w:rsid w:val="00CD326A"/>
    <w:rsid w:val="00CD350D"/>
    <w:rsid w:val="00CD42CC"/>
    <w:rsid w:val="00CD4D93"/>
    <w:rsid w:val="00CD6B65"/>
    <w:rsid w:val="00CD6C2A"/>
    <w:rsid w:val="00CD71AB"/>
    <w:rsid w:val="00CD7201"/>
    <w:rsid w:val="00CD7325"/>
    <w:rsid w:val="00CD7472"/>
    <w:rsid w:val="00CD74C6"/>
    <w:rsid w:val="00CD7764"/>
    <w:rsid w:val="00CE00E1"/>
    <w:rsid w:val="00CE05AA"/>
    <w:rsid w:val="00CE099A"/>
    <w:rsid w:val="00CE0CEB"/>
    <w:rsid w:val="00CE0EDE"/>
    <w:rsid w:val="00CE15EA"/>
    <w:rsid w:val="00CE182E"/>
    <w:rsid w:val="00CE2001"/>
    <w:rsid w:val="00CE2483"/>
    <w:rsid w:val="00CE279A"/>
    <w:rsid w:val="00CE29B0"/>
    <w:rsid w:val="00CE2E49"/>
    <w:rsid w:val="00CE3AFE"/>
    <w:rsid w:val="00CE4600"/>
    <w:rsid w:val="00CE4B46"/>
    <w:rsid w:val="00CE4E19"/>
    <w:rsid w:val="00CE4E28"/>
    <w:rsid w:val="00CE5593"/>
    <w:rsid w:val="00CE5A0F"/>
    <w:rsid w:val="00CE5FE1"/>
    <w:rsid w:val="00CE6126"/>
    <w:rsid w:val="00CE6685"/>
    <w:rsid w:val="00CE683D"/>
    <w:rsid w:val="00CE68F1"/>
    <w:rsid w:val="00CE6E59"/>
    <w:rsid w:val="00CE70B2"/>
    <w:rsid w:val="00CE74A8"/>
    <w:rsid w:val="00CE7B4B"/>
    <w:rsid w:val="00CE7F57"/>
    <w:rsid w:val="00CF034B"/>
    <w:rsid w:val="00CF0482"/>
    <w:rsid w:val="00CF081E"/>
    <w:rsid w:val="00CF0D2A"/>
    <w:rsid w:val="00CF2173"/>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24D"/>
    <w:rsid w:val="00D0084F"/>
    <w:rsid w:val="00D00892"/>
    <w:rsid w:val="00D011B8"/>
    <w:rsid w:val="00D011C2"/>
    <w:rsid w:val="00D019EE"/>
    <w:rsid w:val="00D01A56"/>
    <w:rsid w:val="00D01B30"/>
    <w:rsid w:val="00D01BC9"/>
    <w:rsid w:val="00D01EFF"/>
    <w:rsid w:val="00D01FEE"/>
    <w:rsid w:val="00D028A8"/>
    <w:rsid w:val="00D03A49"/>
    <w:rsid w:val="00D04F70"/>
    <w:rsid w:val="00D050CA"/>
    <w:rsid w:val="00D0519B"/>
    <w:rsid w:val="00D0521C"/>
    <w:rsid w:val="00D054BF"/>
    <w:rsid w:val="00D056F5"/>
    <w:rsid w:val="00D06F65"/>
    <w:rsid w:val="00D07B1F"/>
    <w:rsid w:val="00D07DDF"/>
    <w:rsid w:val="00D100C5"/>
    <w:rsid w:val="00D1053F"/>
    <w:rsid w:val="00D1077D"/>
    <w:rsid w:val="00D114C5"/>
    <w:rsid w:val="00D1199E"/>
    <w:rsid w:val="00D128F7"/>
    <w:rsid w:val="00D12C79"/>
    <w:rsid w:val="00D13267"/>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EA0"/>
    <w:rsid w:val="00D22FEB"/>
    <w:rsid w:val="00D23033"/>
    <w:rsid w:val="00D237FC"/>
    <w:rsid w:val="00D23E57"/>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4211"/>
    <w:rsid w:val="00D5421D"/>
    <w:rsid w:val="00D54350"/>
    <w:rsid w:val="00D55825"/>
    <w:rsid w:val="00D55D96"/>
    <w:rsid w:val="00D5614E"/>
    <w:rsid w:val="00D56391"/>
    <w:rsid w:val="00D56FEA"/>
    <w:rsid w:val="00D57973"/>
    <w:rsid w:val="00D60D49"/>
    <w:rsid w:val="00D60D9F"/>
    <w:rsid w:val="00D61A8F"/>
    <w:rsid w:val="00D61FCE"/>
    <w:rsid w:val="00D62CCD"/>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B7A"/>
    <w:rsid w:val="00D76BE3"/>
    <w:rsid w:val="00D76C34"/>
    <w:rsid w:val="00D76DDD"/>
    <w:rsid w:val="00D76E01"/>
    <w:rsid w:val="00D76F0A"/>
    <w:rsid w:val="00D7790B"/>
    <w:rsid w:val="00D80E40"/>
    <w:rsid w:val="00D80EAD"/>
    <w:rsid w:val="00D82692"/>
    <w:rsid w:val="00D82E89"/>
    <w:rsid w:val="00D83DF9"/>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9A"/>
    <w:rsid w:val="00D93CB9"/>
    <w:rsid w:val="00D93FED"/>
    <w:rsid w:val="00D9436B"/>
    <w:rsid w:val="00D943B8"/>
    <w:rsid w:val="00D944B4"/>
    <w:rsid w:val="00D944F2"/>
    <w:rsid w:val="00D94593"/>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907"/>
    <w:rsid w:val="00DA5F87"/>
    <w:rsid w:val="00DA67C0"/>
    <w:rsid w:val="00DA6DD1"/>
    <w:rsid w:val="00DA7075"/>
    <w:rsid w:val="00DA7373"/>
    <w:rsid w:val="00DA7582"/>
    <w:rsid w:val="00DA7F18"/>
    <w:rsid w:val="00DB1192"/>
    <w:rsid w:val="00DB124B"/>
    <w:rsid w:val="00DB1B72"/>
    <w:rsid w:val="00DB1CCC"/>
    <w:rsid w:val="00DB20B4"/>
    <w:rsid w:val="00DB28C4"/>
    <w:rsid w:val="00DB32E9"/>
    <w:rsid w:val="00DB362B"/>
    <w:rsid w:val="00DB3711"/>
    <w:rsid w:val="00DB399F"/>
    <w:rsid w:val="00DB3D3F"/>
    <w:rsid w:val="00DB3F28"/>
    <w:rsid w:val="00DB40D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E0D"/>
    <w:rsid w:val="00E04EBA"/>
    <w:rsid w:val="00E055BC"/>
    <w:rsid w:val="00E06784"/>
    <w:rsid w:val="00E06E91"/>
    <w:rsid w:val="00E06F27"/>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C2D"/>
    <w:rsid w:val="00E230A3"/>
    <w:rsid w:val="00E236DA"/>
    <w:rsid w:val="00E2487E"/>
    <w:rsid w:val="00E249EB"/>
    <w:rsid w:val="00E2505E"/>
    <w:rsid w:val="00E250AF"/>
    <w:rsid w:val="00E25DC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8CF"/>
    <w:rsid w:val="00E44A7B"/>
    <w:rsid w:val="00E45B3C"/>
    <w:rsid w:val="00E46121"/>
    <w:rsid w:val="00E46F4E"/>
    <w:rsid w:val="00E46FA3"/>
    <w:rsid w:val="00E4712D"/>
    <w:rsid w:val="00E472E2"/>
    <w:rsid w:val="00E47678"/>
    <w:rsid w:val="00E47B09"/>
    <w:rsid w:val="00E5049D"/>
    <w:rsid w:val="00E50BC0"/>
    <w:rsid w:val="00E50F64"/>
    <w:rsid w:val="00E51143"/>
    <w:rsid w:val="00E513DB"/>
    <w:rsid w:val="00E5177F"/>
    <w:rsid w:val="00E51C66"/>
    <w:rsid w:val="00E51CAE"/>
    <w:rsid w:val="00E51E92"/>
    <w:rsid w:val="00E52025"/>
    <w:rsid w:val="00E525CF"/>
    <w:rsid w:val="00E52E49"/>
    <w:rsid w:val="00E5340F"/>
    <w:rsid w:val="00E53550"/>
    <w:rsid w:val="00E53B83"/>
    <w:rsid w:val="00E53D25"/>
    <w:rsid w:val="00E5445C"/>
    <w:rsid w:val="00E54A9F"/>
    <w:rsid w:val="00E551B5"/>
    <w:rsid w:val="00E551C7"/>
    <w:rsid w:val="00E55388"/>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8CD"/>
    <w:rsid w:val="00E62250"/>
    <w:rsid w:val="00E62A3D"/>
    <w:rsid w:val="00E62D65"/>
    <w:rsid w:val="00E635DA"/>
    <w:rsid w:val="00E63708"/>
    <w:rsid w:val="00E63938"/>
    <w:rsid w:val="00E63BA5"/>
    <w:rsid w:val="00E63E73"/>
    <w:rsid w:val="00E63EFF"/>
    <w:rsid w:val="00E64275"/>
    <w:rsid w:val="00E64FF6"/>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D7B"/>
    <w:rsid w:val="00E741DE"/>
    <w:rsid w:val="00E748FF"/>
    <w:rsid w:val="00E74A7E"/>
    <w:rsid w:val="00E75D25"/>
    <w:rsid w:val="00E76232"/>
    <w:rsid w:val="00E76360"/>
    <w:rsid w:val="00E7678E"/>
    <w:rsid w:val="00E7680F"/>
    <w:rsid w:val="00E77242"/>
    <w:rsid w:val="00E77588"/>
    <w:rsid w:val="00E8006B"/>
    <w:rsid w:val="00E807FF"/>
    <w:rsid w:val="00E8162D"/>
    <w:rsid w:val="00E81763"/>
    <w:rsid w:val="00E82CD4"/>
    <w:rsid w:val="00E84469"/>
    <w:rsid w:val="00E847F6"/>
    <w:rsid w:val="00E848FD"/>
    <w:rsid w:val="00E851D0"/>
    <w:rsid w:val="00E85650"/>
    <w:rsid w:val="00E85CCA"/>
    <w:rsid w:val="00E85D7E"/>
    <w:rsid w:val="00E85EB9"/>
    <w:rsid w:val="00E86662"/>
    <w:rsid w:val="00E867E2"/>
    <w:rsid w:val="00E868A0"/>
    <w:rsid w:val="00E86CBF"/>
    <w:rsid w:val="00E86FD3"/>
    <w:rsid w:val="00E87FAC"/>
    <w:rsid w:val="00E9011B"/>
    <w:rsid w:val="00E90613"/>
    <w:rsid w:val="00E9131F"/>
    <w:rsid w:val="00E914E4"/>
    <w:rsid w:val="00E9199B"/>
    <w:rsid w:val="00E91ECE"/>
    <w:rsid w:val="00E92082"/>
    <w:rsid w:val="00E936AA"/>
    <w:rsid w:val="00E938D2"/>
    <w:rsid w:val="00E9496D"/>
    <w:rsid w:val="00E94D07"/>
    <w:rsid w:val="00E94D69"/>
    <w:rsid w:val="00E95930"/>
    <w:rsid w:val="00E97218"/>
    <w:rsid w:val="00E97F44"/>
    <w:rsid w:val="00EA0C15"/>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65"/>
    <w:rsid w:val="00EB6D41"/>
    <w:rsid w:val="00EB73D7"/>
    <w:rsid w:val="00EB7751"/>
    <w:rsid w:val="00EB7AD7"/>
    <w:rsid w:val="00EC0152"/>
    <w:rsid w:val="00EC0275"/>
    <w:rsid w:val="00EC09D3"/>
    <w:rsid w:val="00EC13B7"/>
    <w:rsid w:val="00EC1D67"/>
    <w:rsid w:val="00EC25E8"/>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7021"/>
    <w:rsid w:val="00EF7220"/>
    <w:rsid w:val="00EF7617"/>
    <w:rsid w:val="00EF7679"/>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30A09"/>
    <w:rsid w:val="00F311E4"/>
    <w:rsid w:val="00F32BFA"/>
    <w:rsid w:val="00F33478"/>
    <w:rsid w:val="00F335DB"/>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53F"/>
    <w:rsid w:val="00F56561"/>
    <w:rsid w:val="00F56960"/>
    <w:rsid w:val="00F574F5"/>
    <w:rsid w:val="00F5763D"/>
    <w:rsid w:val="00F605F3"/>
    <w:rsid w:val="00F60966"/>
    <w:rsid w:val="00F60C54"/>
    <w:rsid w:val="00F60D2A"/>
    <w:rsid w:val="00F611A4"/>
    <w:rsid w:val="00F62699"/>
    <w:rsid w:val="00F62732"/>
    <w:rsid w:val="00F63607"/>
    <w:rsid w:val="00F6396D"/>
    <w:rsid w:val="00F63D7E"/>
    <w:rsid w:val="00F63EAD"/>
    <w:rsid w:val="00F64549"/>
    <w:rsid w:val="00F64741"/>
    <w:rsid w:val="00F64992"/>
    <w:rsid w:val="00F64B22"/>
    <w:rsid w:val="00F64DB0"/>
    <w:rsid w:val="00F64EF1"/>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C5A"/>
    <w:rsid w:val="00F721E0"/>
    <w:rsid w:val="00F72769"/>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ADB"/>
    <w:rsid w:val="00F77F62"/>
    <w:rsid w:val="00F80002"/>
    <w:rsid w:val="00F80060"/>
    <w:rsid w:val="00F80B12"/>
    <w:rsid w:val="00F80B2D"/>
    <w:rsid w:val="00F815E4"/>
    <w:rsid w:val="00F81644"/>
    <w:rsid w:val="00F81A5E"/>
    <w:rsid w:val="00F82E14"/>
    <w:rsid w:val="00F82E36"/>
    <w:rsid w:val="00F82E6D"/>
    <w:rsid w:val="00F8348A"/>
    <w:rsid w:val="00F83F45"/>
    <w:rsid w:val="00F84171"/>
    <w:rsid w:val="00F84735"/>
    <w:rsid w:val="00F85366"/>
    <w:rsid w:val="00F85B54"/>
    <w:rsid w:val="00F867CE"/>
    <w:rsid w:val="00F86879"/>
    <w:rsid w:val="00F871B2"/>
    <w:rsid w:val="00F91734"/>
    <w:rsid w:val="00F918EC"/>
    <w:rsid w:val="00F92207"/>
    <w:rsid w:val="00F9241A"/>
    <w:rsid w:val="00F92622"/>
    <w:rsid w:val="00F92983"/>
    <w:rsid w:val="00F9370D"/>
    <w:rsid w:val="00F93EE6"/>
    <w:rsid w:val="00F941A3"/>
    <w:rsid w:val="00F94746"/>
    <w:rsid w:val="00F9497E"/>
    <w:rsid w:val="00F94A4C"/>
    <w:rsid w:val="00F94B82"/>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FDE"/>
    <w:rsid w:val="00FC10AD"/>
    <w:rsid w:val="00FC1302"/>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FE1"/>
    <w:rsid w:val="00FD0493"/>
    <w:rsid w:val="00FD0BE1"/>
    <w:rsid w:val="00FD0DD6"/>
    <w:rsid w:val="00FD0ED0"/>
    <w:rsid w:val="00FD1125"/>
    <w:rsid w:val="00FD12FF"/>
    <w:rsid w:val="00FD1C91"/>
    <w:rsid w:val="00FD1D9F"/>
    <w:rsid w:val="00FD2F82"/>
    <w:rsid w:val="00FD3204"/>
    <w:rsid w:val="00FD3F31"/>
    <w:rsid w:val="00FD3FAC"/>
    <w:rsid w:val="00FD4291"/>
    <w:rsid w:val="00FD4957"/>
    <w:rsid w:val="00FD5001"/>
    <w:rsid w:val="00FD5019"/>
    <w:rsid w:val="00FD52BA"/>
    <w:rsid w:val="00FD563E"/>
    <w:rsid w:val="00FD5A11"/>
    <w:rsid w:val="00FD5C02"/>
    <w:rsid w:val="00FD5CDF"/>
    <w:rsid w:val="00FD6561"/>
    <w:rsid w:val="00FD69EC"/>
    <w:rsid w:val="00FD6C26"/>
    <w:rsid w:val="00FD70EC"/>
    <w:rsid w:val="00FD7A2D"/>
    <w:rsid w:val="00FD7C43"/>
    <w:rsid w:val="00FE03AD"/>
    <w:rsid w:val="00FE03B8"/>
    <w:rsid w:val="00FE07B7"/>
    <w:rsid w:val="00FE0C32"/>
    <w:rsid w:val="00FE13CB"/>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4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3383</Words>
  <Characters>18269</Characters>
  <Application>Microsoft Office Word</Application>
  <DocSecurity>0</DocSecurity>
  <Lines>152</Lines>
  <Paragraphs>43</Paragraphs>
  <ScaleCrop>false</ScaleCrop>
  <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2014-11-24T18:48:00Z</dcterms:created>
  <dcterms:modified xsi:type="dcterms:W3CDTF">2014-11-24T18:48:00Z</dcterms:modified>
</cp:coreProperties>
</file>