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FD" w:rsidRP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AA4BFD">
        <w:rPr>
          <w:rFonts w:ascii="Times New Roman" w:hAnsi="Times New Roman"/>
          <w:b/>
          <w:sz w:val="24"/>
          <w:szCs w:val="24"/>
        </w:rPr>
        <w:t xml:space="preserve">LEI Nº </w:t>
      </w:r>
      <w:r w:rsidR="00865C89">
        <w:rPr>
          <w:rFonts w:ascii="Times New Roman" w:hAnsi="Times New Roman"/>
          <w:b/>
          <w:sz w:val="24"/>
          <w:szCs w:val="24"/>
        </w:rPr>
        <w:t>5649</w:t>
      </w:r>
      <w:r w:rsidRPr="00AA4BFD">
        <w:rPr>
          <w:rFonts w:ascii="Times New Roman" w:hAnsi="Times New Roman"/>
          <w:b/>
          <w:sz w:val="24"/>
          <w:szCs w:val="24"/>
        </w:rPr>
        <w:t>/15</w:t>
      </w:r>
    </w:p>
    <w:p w:rsidR="00AA4BFD" w:rsidRP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A4BFD" w:rsidRPr="00AA4BFD" w:rsidRDefault="00AA4BFD" w:rsidP="00AA4BFD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AA4BFD">
        <w:rPr>
          <w:rFonts w:ascii="Times New Roman" w:hAnsi="Times New Roman"/>
          <w:b/>
          <w:sz w:val="24"/>
          <w:szCs w:val="24"/>
        </w:rPr>
        <w:t>AMPLIA A CARGA HORÁRIA DOS PROCURADORES MUNICIPAIS COM AUMENTO PROPORCIONAL DE SEUS VENCIMENTOS.</w:t>
      </w:r>
    </w:p>
    <w:p w:rsidR="00AA4BFD" w:rsidRP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A4BFD" w:rsidRP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b/>
          <w:bCs/>
          <w:sz w:val="20"/>
          <w:szCs w:val="20"/>
        </w:rPr>
      </w:pPr>
      <w:r w:rsidRPr="00AA4BF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A4BFD" w:rsidRP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A4BFD" w:rsidRP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AA4BFD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A4BFD" w:rsidRP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AA4BFD">
        <w:rPr>
          <w:rFonts w:ascii="Times New Roman" w:hAnsi="Times New Roman"/>
          <w:b/>
          <w:sz w:val="24"/>
          <w:szCs w:val="24"/>
        </w:rPr>
        <w:t>Art. 1º</w:t>
      </w:r>
      <w:r w:rsidRPr="00AA4BFD">
        <w:rPr>
          <w:rFonts w:ascii="Times New Roman" w:hAnsi="Times New Roman"/>
          <w:sz w:val="24"/>
          <w:szCs w:val="24"/>
        </w:rPr>
        <w:t xml:space="preserve"> A carga horária dos ocupantes dos cargos efetivos de Procurador Municipal fica ampliada em 01 (uma) hora diária, totalizando 04(quatro) horas diárias, com o aumento proporcional de seus vencimentos em 33,33% (</w:t>
      </w:r>
      <w:proofErr w:type="gramStart"/>
      <w:r w:rsidRPr="00AA4BFD">
        <w:rPr>
          <w:rFonts w:ascii="Times New Roman" w:hAnsi="Times New Roman"/>
          <w:sz w:val="24"/>
          <w:szCs w:val="24"/>
        </w:rPr>
        <w:t>trinta e três vírgula</w:t>
      </w:r>
      <w:proofErr w:type="gramEnd"/>
      <w:r w:rsidRPr="00AA4BFD">
        <w:rPr>
          <w:rFonts w:ascii="Times New Roman" w:hAnsi="Times New Roman"/>
          <w:sz w:val="24"/>
          <w:szCs w:val="24"/>
        </w:rPr>
        <w:t xml:space="preserve"> trinta e três por cento).</w:t>
      </w:r>
    </w:p>
    <w:p w:rsidR="00AA4BFD" w:rsidRP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AA4BFD">
        <w:rPr>
          <w:rFonts w:ascii="Times New Roman" w:hAnsi="Times New Roman"/>
          <w:b/>
          <w:sz w:val="24"/>
          <w:szCs w:val="24"/>
        </w:rPr>
        <w:t>Art. 2º</w:t>
      </w:r>
      <w:r w:rsidRPr="00AA4BFD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AA4BFD" w:rsidRDefault="00AA4BFD" w:rsidP="00AA4B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BFD" w:rsidRDefault="00AA4BFD" w:rsidP="00AA4B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4BFD" w:rsidRDefault="00865C89" w:rsidP="00AA4BF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AA4BFD">
        <w:rPr>
          <w:rFonts w:ascii="Times New Roman" w:hAnsi="Times New Roman"/>
          <w:sz w:val="24"/>
          <w:szCs w:val="24"/>
        </w:rPr>
        <w:t xml:space="preserve"> Municipal de Pouso Alegre, </w:t>
      </w:r>
      <w:r w:rsidR="004722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="00AA4BFD">
        <w:rPr>
          <w:rFonts w:ascii="Times New Roman" w:hAnsi="Times New Roman"/>
          <w:sz w:val="24"/>
          <w:szCs w:val="24"/>
        </w:rPr>
        <w:t xml:space="preserve"> de Dezembro de 2015.</w:t>
      </w:r>
    </w:p>
    <w:p w:rsidR="00AA4BFD" w:rsidRDefault="00AA4BFD" w:rsidP="00AA4BFD">
      <w:pPr>
        <w:pStyle w:val="SemEspaamento"/>
        <w:rPr>
          <w:rFonts w:ascii="Times New Roman" w:hAnsi="Times New Roman"/>
          <w:sz w:val="24"/>
          <w:szCs w:val="24"/>
        </w:rPr>
      </w:pPr>
    </w:p>
    <w:p w:rsidR="00AA4BFD" w:rsidRDefault="00AA4BFD" w:rsidP="00AA4BFD">
      <w:pPr>
        <w:pStyle w:val="SemEspaamento"/>
        <w:rPr>
          <w:rFonts w:ascii="Times New Roman" w:hAnsi="Times New Roman"/>
          <w:sz w:val="24"/>
          <w:szCs w:val="24"/>
        </w:rPr>
      </w:pPr>
    </w:p>
    <w:p w:rsidR="00AA4BFD" w:rsidRDefault="00AA4BFD" w:rsidP="00AA4BFD">
      <w:pPr>
        <w:pStyle w:val="SemEspaamento"/>
        <w:rPr>
          <w:rFonts w:ascii="Times New Roman" w:hAnsi="Times New Roman"/>
          <w:sz w:val="24"/>
          <w:szCs w:val="24"/>
        </w:rPr>
      </w:pPr>
    </w:p>
    <w:p w:rsidR="00AA4BFD" w:rsidRDefault="00AA4BFD" w:rsidP="00AA4BFD">
      <w:pPr>
        <w:pStyle w:val="SemEspaamento"/>
        <w:rPr>
          <w:rFonts w:ascii="Times New Roman" w:hAnsi="Times New Roman"/>
          <w:sz w:val="24"/>
          <w:szCs w:val="24"/>
        </w:rPr>
      </w:pPr>
    </w:p>
    <w:p w:rsidR="00AA4BFD" w:rsidRDefault="00AA4BFD" w:rsidP="00AA4BF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AA4BFD" w:rsidTr="00AA4BFD">
        <w:tc>
          <w:tcPr>
            <w:tcW w:w="4322" w:type="dxa"/>
          </w:tcPr>
          <w:p w:rsidR="00AA4BFD" w:rsidRDefault="00865C89" w:rsidP="00AA4BF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AA4BFD" w:rsidRDefault="00865C89" w:rsidP="00AA4BF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AA4BFD" w:rsidTr="00AA4BFD">
        <w:tc>
          <w:tcPr>
            <w:tcW w:w="4322" w:type="dxa"/>
          </w:tcPr>
          <w:p w:rsidR="00AA4BFD" w:rsidRPr="00AA4BFD" w:rsidRDefault="00865C89" w:rsidP="00AA4BF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AA4BFD" w:rsidRPr="00AA4BFD" w:rsidRDefault="00865C89" w:rsidP="00AA4BF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AA4BFD" w:rsidRDefault="00AA4BFD" w:rsidP="00AA4BFD">
      <w:pPr>
        <w:pStyle w:val="SemEspaamento"/>
        <w:rPr>
          <w:rFonts w:ascii="Times New Roman" w:hAnsi="Times New Roman"/>
          <w:sz w:val="24"/>
          <w:szCs w:val="24"/>
        </w:rPr>
      </w:pPr>
    </w:p>
    <w:p w:rsidR="00865C89" w:rsidRDefault="00865C89" w:rsidP="00AA4BFD">
      <w:pPr>
        <w:pStyle w:val="SemEspaamento"/>
        <w:rPr>
          <w:rFonts w:ascii="Times New Roman" w:hAnsi="Times New Roman"/>
          <w:sz w:val="24"/>
          <w:szCs w:val="24"/>
        </w:rPr>
      </w:pPr>
    </w:p>
    <w:p w:rsidR="00865C89" w:rsidRPr="00AA4BFD" w:rsidRDefault="00865C89" w:rsidP="00AA4BFD">
      <w:pPr>
        <w:pStyle w:val="SemEspaamento"/>
        <w:rPr>
          <w:rFonts w:ascii="Times New Roman" w:hAnsi="Times New Roman"/>
          <w:sz w:val="24"/>
          <w:szCs w:val="24"/>
        </w:rPr>
      </w:pPr>
    </w:p>
    <w:p w:rsid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65C89" w:rsidTr="00FC7BF2">
        <w:tc>
          <w:tcPr>
            <w:tcW w:w="4322" w:type="dxa"/>
          </w:tcPr>
          <w:p w:rsidR="00865C89" w:rsidRDefault="00865C89" w:rsidP="00FC7BF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Roberto de Paula Reis</w:t>
            </w:r>
          </w:p>
        </w:tc>
        <w:tc>
          <w:tcPr>
            <w:tcW w:w="4322" w:type="dxa"/>
          </w:tcPr>
          <w:p w:rsidR="00865C89" w:rsidRDefault="00865C89" w:rsidP="00FC7BF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C89" w:rsidRPr="00AA4BFD" w:rsidTr="00FC7BF2">
        <w:tc>
          <w:tcPr>
            <w:tcW w:w="4322" w:type="dxa"/>
          </w:tcPr>
          <w:p w:rsidR="00865C89" w:rsidRPr="00AA4BFD" w:rsidRDefault="00865C89" w:rsidP="00FC7BF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PROCURADOR GERAL DO MUNICÍPIO</w:t>
            </w:r>
          </w:p>
        </w:tc>
        <w:tc>
          <w:tcPr>
            <w:tcW w:w="4322" w:type="dxa"/>
          </w:tcPr>
          <w:p w:rsidR="00865C89" w:rsidRPr="00AA4BFD" w:rsidRDefault="00865C89" w:rsidP="00FC7BF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BFD" w:rsidRDefault="00AA4BFD" w:rsidP="00AA4BF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sectPr w:rsidR="00AA4BFD" w:rsidSect="00AA4BF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BF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DF8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2D3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8E5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C89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04BF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9C5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4BFD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4BF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A4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8844-AFD1-4FCB-A5EA-5D806E90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2016-01-11T17:24:00Z</dcterms:created>
  <dcterms:modified xsi:type="dcterms:W3CDTF">2016-01-11T17:24:00Z</dcterms:modified>
</cp:coreProperties>
</file>