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33" w:rsidRDefault="00C27A33" w:rsidP="00384781">
      <w:pPr>
        <w:ind w:firstLine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546F7F">
        <w:rPr>
          <w:b/>
          <w:color w:val="000000"/>
        </w:rPr>
        <w:t>5646</w:t>
      </w:r>
      <w:r>
        <w:rPr>
          <w:b/>
          <w:color w:val="000000"/>
        </w:rPr>
        <w:t>/15</w:t>
      </w:r>
    </w:p>
    <w:p w:rsidR="00C27A33" w:rsidRDefault="00C27A33" w:rsidP="00384781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27A33" w:rsidRPr="00A61C2A" w:rsidRDefault="00876271" w:rsidP="00876271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"/>
        </w:rPr>
      </w:pPr>
      <w:r>
        <w:rPr>
          <w:b/>
        </w:rPr>
        <w:t>AUTORIZA O PODER EXECUTIVO A PRORROGAR OS CONTRATOS E DESIGNAÇÕES, PARA OS CARGOS DE MONITOR DE CRECHE, AUXILIAR DE SERVIÇO, COZINHEIRA, ASSISTENTE ADMINISTRATIVO, INSPETOR DE ALUNOS, SUPERVISOR PEDAGÓGICO II, ORIENTADOR EDUCACIONAL II, PROFESSOR PII, PROFESSOR PII (EDUCAÇÃO ARTÍSTICA), PROFESSOR PIII E PROFESSOR PIV, TODOS DA REDE MUNICIPAL DE ENSINO (SECRETARIA MUNICIPAL DE EDUCAÇÃO), CONFORME LEI MUNICIPAL Nº 4122/03 – ESTATUTO DO MAGISTÉRIO PÚBLICO MUNICIPAL – ARTIGOS 39, 40, 41, 42, 43, 44 E 45 E Nº 3345/97, ARTIGO 5º, COM BASE NO INCISO X DO ARTIGO 220 DA LEI MUNICIPAL Nº 1042/71 – (ESTATUTO DO SERVIDOR PÚBLICO) E DÁ OUTRAS PROVIDÊNCIAS.</w:t>
      </w:r>
    </w:p>
    <w:p w:rsidR="00C27A33" w:rsidRDefault="00C27A33" w:rsidP="0038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</w:rPr>
      </w:pPr>
      <w:r>
        <w:rPr>
          <w:b/>
          <w:bCs/>
        </w:rPr>
        <w:tab/>
      </w:r>
    </w:p>
    <w:p w:rsidR="00C27A33" w:rsidRPr="00F93CCF" w:rsidRDefault="00C27A33" w:rsidP="00384781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Poder Executivo</w:t>
      </w:r>
    </w:p>
    <w:p w:rsidR="00C27A33" w:rsidRDefault="00C27A33" w:rsidP="00384781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C27A33" w:rsidRDefault="00C27A33" w:rsidP="00384781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C27A33" w:rsidRDefault="00C27A33" w:rsidP="00384781">
      <w:pPr>
        <w:ind w:firstLine="2835"/>
        <w:jc w:val="both"/>
      </w:pPr>
      <w:r>
        <w:t>A Câmara Municipal de Pouso Alegre aprova e o Chefe do Poder Executivo sanciona e promulga a seguinte Lei:</w:t>
      </w:r>
    </w:p>
    <w:p w:rsidR="00C27A33" w:rsidRDefault="00C27A33" w:rsidP="00C27A33">
      <w:pPr>
        <w:ind w:firstLine="3118"/>
        <w:jc w:val="both"/>
      </w:pPr>
    </w:p>
    <w:p w:rsidR="00876271" w:rsidRDefault="00876271" w:rsidP="001214DE">
      <w:pPr>
        <w:ind w:firstLine="2835"/>
        <w:jc w:val="both"/>
      </w:pPr>
      <w:r>
        <w:rPr>
          <w:b/>
        </w:rPr>
        <w:t>Art. 1º</w:t>
      </w:r>
      <w:r>
        <w:t xml:space="preserve">  Fica o Poder Executivo autorizado a prorrogar os contratos e designações, para os cargos de Monitor de Creche, Auxiliar de Serviços; Cozinheiro, Inspetor de Aluno, Supervisor Pedagógico, Orientador Educacional, Professor PII, Professor PII (Educação Artística), Professor PIII e Professor PIV, da Rede Municipal de Ensino (Secretaria Municipal de Educação), celebrados para o ano de 2014 até que ocorra a posse de novos profissionais selecionados através de concurso Público Municipal.</w:t>
      </w:r>
    </w:p>
    <w:p w:rsidR="00876271" w:rsidRDefault="00876271" w:rsidP="001214DE">
      <w:pPr>
        <w:ind w:firstLine="2835"/>
        <w:jc w:val="both"/>
      </w:pPr>
    </w:p>
    <w:p w:rsidR="00876271" w:rsidRDefault="00876271" w:rsidP="001214DE">
      <w:pPr>
        <w:ind w:firstLine="2835"/>
        <w:jc w:val="both"/>
      </w:pPr>
      <w:r>
        <w:rPr>
          <w:b/>
        </w:rPr>
        <w:t xml:space="preserve">Art. 2º  </w:t>
      </w:r>
      <w:r>
        <w:t>As prorrogações de contratos ou designações de que trata o artigo anterior, somente ocorrerão se persistirem, no ano de 2016, a necessidade de substituições ou os cargos vagos que deram origem às respectivas contratações.</w:t>
      </w:r>
    </w:p>
    <w:p w:rsidR="00876271" w:rsidRDefault="00876271" w:rsidP="001214DE">
      <w:pPr>
        <w:ind w:firstLine="2835"/>
        <w:jc w:val="both"/>
      </w:pPr>
    </w:p>
    <w:p w:rsidR="00876271" w:rsidRDefault="00876271" w:rsidP="001214DE">
      <w:pPr>
        <w:ind w:firstLine="2835"/>
        <w:jc w:val="both"/>
        <w:rPr>
          <w:lang w:val="pt-PT"/>
        </w:rPr>
      </w:pPr>
      <w:r>
        <w:rPr>
          <w:b/>
        </w:rPr>
        <w:t>Art. 3º</w:t>
      </w:r>
      <w:r>
        <w:t xml:space="preserve">  Os Monitores de Creches e Profissionais do Magistério permanecerão preferencialmente, nas escolas onde estavam atuando desde 31 de dezembro de 2014.</w:t>
      </w:r>
    </w:p>
    <w:p w:rsidR="00876271" w:rsidRDefault="00876271" w:rsidP="00876271">
      <w:pPr>
        <w:ind w:firstLine="3118"/>
        <w:jc w:val="both"/>
      </w:pPr>
      <w:r>
        <w:rPr>
          <w:b/>
        </w:rPr>
        <w:lastRenderedPageBreak/>
        <w:t>Art. 4º</w:t>
      </w:r>
      <w:r>
        <w:t xml:space="preserve">  Na medida em que ocorrerem desistências nos contratos firmados com base na Lei 3345/97, as novas vagas deverão ser preenchidas da mesma maneira ali fixada, até o prazo previsto no art. 1º.</w:t>
      </w:r>
    </w:p>
    <w:p w:rsidR="00876271" w:rsidRDefault="00876271" w:rsidP="00876271">
      <w:pPr>
        <w:ind w:firstLine="3118"/>
        <w:jc w:val="both"/>
      </w:pPr>
    </w:p>
    <w:p w:rsidR="00876271" w:rsidRDefault="00876271" w:rsidP="00876271">
      <w:pPr>
        <w:ind w:firstLine="3118"/>
        <w:jc w:val="both"/>
      </w:pPr>
      <w:r>
        <w:rPr>
          <w:b/>
        </w:rPr>
        <w:t xml:space="preserve">Art. 5º  </w:t>
      </w:r>
      <w:r>
        <w:t>Esta Lei entra em vigor na data de sua publicação.</w:t>
      </w:r>
    </w:p>
    <w:p w:rsidR="00143B35" w:rsidRDefault="00143B35" w:rsidP="00F808B4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0E516F" w:rsidRDefault="000E516F" w:rsidP="00F808B4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B43C4F" w:rsidRDefault="00546F7F" w:rsidP="00B43C4F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B43C4F">
        <w:rPr>
          <w:color w:val="000000"/>
        </w:rPr>
        <w:t xml:space="preserve"> Municipal de Pouso Alegre, </w:t>
      </w:r>
      <w:r w:rsidR="00287774">
        <w:rPr>
          <w:color w:val="000000"/>
        </w:rPr>
        <w:t>2</w:t>
      </w:r>
      <w:r>
        <w:rPr>
          <w:color w:val="000000"/>
        </w:rPr>
        <w:t>8</w:t>
      </w:r>
      <w:r w:rsidR="00B43C4F">
        <w:rPr>
          <w:color w:val="000000"/>
        </w:rPr>
        <w:t xml:space="preserve"> de </w:t>
      </w:r>
      <w:r w:rsidR="00876271">
        <w:rPr>
          <w:color w:val="000000"/>
        </w:rPr>
        <w:t>Dez</w:t>
      </w:r>
      <w:r w:rsidR="00B43C4F">
        <w:rPr>
          <w:color w:val="000000"/>
        </w:rPr>
        <w:t>embro de 2015.</w:t>
      </w:r>
    </w:p>
    <w:p w:rsidR="00B43C4F" w:rsidRDefault="00B43C4F" w:rsidP="00B43C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B43C4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43C4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43C4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tblpY="1"/>
        <w:tblOverlap w:val="never"/>
        <w:tblW w:w="90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1"/>
        <w:gridCol w:w="1051"/>
        <w:gridCol w:w="3339"/>
        <w:gridCol w:w="1051"/>
      </w:tblGrid>
      <w:tr w:rsidR="00B43C4F" w:rsidTr="001F53F2">
        <w:trPr>
          <w:trHeight w:val="1"/>
        </w:trPr>
        <w:tc>
          <w:tcPr>
            <w:tcW w:w="4612" w:type="dxa"/>
            <w:gridSpan w:val="2"/>
            <w:shd w:val="clear" w:color="auto" w:fill="auto"/>
          </w:tcPr>
          <w:p w:rsidR="00B43C4F" w:rsidRPr="00AD485A" w:rsidRDefault="00B43C4F" w:rsidP="00546F7F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46F7F">
              <w:rPr>
                <w:color w:val="000000"/>
              </w:rPr>
              <w:t>Agnaldo Perugini</w:t>
            </w:r>
          </w:p>
        </w:tc>
        <w:tc>
          <w:tcPr>
            <w:tcW w:w="4390" w:type="dxa"/>
            <w:gridSpan w:val="2"/>
          </w:tcPr>
          <w:p w:rsidR="00B43C4F" w:rsidRPr="00AD485A" w:rsidRDefault="00546F7F" w:rsidP="001F53F2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</w:tc>
      </w:tr>
      <w:tr w:rsidR="00B43C4F" w:rsidTr="001F53F2">
        <w:trPr>
          <w:trHeight w:val="2"/>
        </w:trPr>
        <w:tc>
          <w:tcPr>
            <w:tcW w:w="4612" w:type="dxa"/>
            <w:gridSpan w:val="2"/>
            <w:shd w:val="clear" w:color="auto" w:fill="auto"/>
          </w:tcPr>
          <w:p w:rsidR="00B43C4F" w:rsidRPr="00BE34CD" w:rsidRDefault="00546F7F" w:rsidP="001F53F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90" w:type="dxa"/>
            <w:gridSpan w:val="2"/>
          </w:tcPr>
          <w:p w:rsidR="00B43C4F" w:rsidRPr="00BE34CD" w:rsidRDefault="00546F7F" w:rsidP="001F53F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  <w:tr w:rsidR="00B43C4F" w:rsidTr="001F53F2">
        <w:trPr>
          <w:gridBefore w:val="1"/>
          <w:gridAfter w:val="1"/>
          <w:wBefore w:w="3561" w:type="dxa"/>
          <w:wAfter w:w="1051" w:type="dxa"/>
          <w:trHeight w:val="28"/>
        </w:trPr>
        <w:tc>
          <w:tcPr>
            <w:tcW w:w="4390" w:type="dxa"/>
            <w:gridSpan w:val="2"/>
            <w:shd w:val="clear" w:color="auto" w:fill="auto"/>
          </w:tcPr>
          <w:p w:rsidR="00B43C4F" w:rsidRPr="00AD485A" w:rsidRDefault="00B43C4F" w:rsidP="001F53F2">
            <w:pPr>
              <w:ind w:right="-1"/>
              <w:rPr>
                <w:color w:val="000000"/>
              </w:rPr>
            </w:pPr>
          </w:p>
        </w:tc>
      </w:tr>
      <w:tr w:rsidR="00B43C4F" w:rsidTr="001F53F2">
        <w:trPr>
          <w:gridBefore w:val="1"/>
          <w:gridAfter w:val="1"/>
          <w:wBefore w:w="3561" w:type="dxa"/>
          <w:wAfter w:w="1051" w:type="dxa"/>
          <w:trHeight w:val="61"/>
        </w:trPr>
        <w:tc>
          <w:tcPr>
            <w:tcW w:w="4390" w:type="dxa"/>
            <w:gridSpan w:val="2"/>
            <w:shd w:val="clear" w:color="auto" w:fill="auto"/>
          </w:tcPr>
          <w:p w:rsidR="00B43C4F" w:rsidRPr="00BE34CD" w:rsidRDefault="00B43C4F" w:rsidP="001F53F2">
            <w:pPr>
              <w:ind w:right="-1"/>
              <w:rPr>
                <w:color w:val="000000"/>
                <w:sz w:val="20"/>
                <w:szCs w:val="20"/>
              </w:rPr>
            </w:pPr>
          </w:p>
        </w:tc>
      </w:tr>
    </w:tbl>
    <w:p w:rsidR="00B43C4F" w:rsidRDefault="001F53F2" w:rsidP="00B43C4F">
      <w:pPr>
        <w:tabs>
          <w:tab w:val="left" w:pos="7105"/>
        </w:tabs>
      </w:pPr>
      <w:r>
        <w:br w:type="textWrapping" w:clear="all"/>
      </w:r>
    </w:p>
    <w:sectPr w:rsidR="00B43C4F" w:rsidSect="00B43C4F">
      <w:headerReference w:type="default" r:id="rId6"/>
      <w:footerReference w:type="even" r:id="rId7"/>
      <w:footerReference w:type="default" r:id="rId8"/>
      <w:pgSz w:w="11906" w:h="16838"/>
      <w:pgMar w:top="2665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438" w:rsidRDefault="005E7438" w:rsidP="00FE475D">
      <w:r>
        <w:separator/>
      </w:r>
    </w:p>
  </w:endnote>
  <w:endnote w:type="continuationSeparator" w:id="1">
    <w:p w:rsidR="005E7438" w:rsidRDefault="005E743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779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E74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E74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E7438" w:rsidP="001F53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438" w:rsidRDefault="005E7438" w:rsidP="00FE475D">
      <w:r>
        <w:separator/>
      </w:r>
    </w:p>
  </w:footnote>
  <w:footnote w:type="continuationSeparator" w:id="1">
    <w:p w:rsidR="005E7438" w:rsidRDefault="005E743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7793" w:rsidP="00B43C4F">
    <w:pPr>
      <w:pStyle w:val="Cabealho"/>
      <w:tabs>
        <w:tab w:val="left" w:pos="708"/>
      </w:tabs>
      <w:spacing w:line="278" w:lineRule="auto"/>
      <w:rPr>
        <w:sz w:val="32"/>
      </w:rPr>
    </w:pPr>
    <w:r w:rsidRPr="0020779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5E7438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4A7"/>
    <w:rsid w:val="000231DF"/>
    <w:rsid w:val="00024712"/>
    <w:rsid w:val="000B6908"/>
    <w:rsid w:val="000E516F"/>
    <w:rsid w:val="001214DE"/>
    <w:rsid w:val="00123370"/>
    <w:rsid w:val="00123AE7"/>
    <w:rsid w:val="001374E2"/>
    <w:rsid w:val="00143B35"/>
    <w:rsid w:val="001827B4"/>
    <w:rsid w:val="001F53F2"/>
    <w:rsid w:val="00207793"/>
    <w:rsid w:val="0021019A"/>
    <w:rsid w:val="00217FD1"/>
    <w:rsid w:val="00283AD6"/>
    <w:rsid w:val="00287774"/>
    <w:rsid w:val="002B522A"/>
    <w:rsid w:val="00313F04"/>
    <w:rsid w:val="003776C3"/>
    <w:rsid w:val="00384781"/>
    <w:rsid w:val="003A2501"/>
    <w:rsid w:val="003B0DD2"/>
    <w:rsid w:val="003B78AF"/>
    <w:rsid w:val="003E5293"/>
    <w:rsid w:val="00415C5B"/>
    <w:rsid w:val="004D75B2"/>
    <w:rsid w:val="00546F7F"/>
    <w:rsid w:val="005E7438"/>
    <w:rsid w:val="00647119"/>
    <w:rsid w:val="006871AD"/>
    <w:rsid w:val="006C3FC6"/>
    <w:rsid w:val="007076AC"/>
    <w:rsid w:val="00751323"/>
    <w:rsid w:val="007571B0"/>
    <w:rsid w:val="0077386F"/>
    <w:rsid w:val="007D2C12"/>
    <w:rsid w:val="007D565C"/>
    <w:rsid w:val="008236A6"/>
    <w:rsid w:val="00857370"/>
    <w:rsid w:val="00861FFB"/>
    <w:rsid w:val="00876271"/>
    <w:rsid w:val="009643A2"/>
    <w:rsid w:val="009F1BF1"/>
    <w:rsid w:val="00AF09C1"/>
    <w:rsid w:val="00B43C4F"/>
    <w:rsid w:val="00C22D0D"/>
    <w:rsid w:val="00C27A33"/>
    <w:rsid w:val="00C94212"/>
    <w:rsid w:val="00CC1A7B"/>
    <w:rsid w:val="00D1032B"/>
    <w:rsid w:val="00D14BB8"/>
    <w:rsid w:val="00D471A7"/>
    <w:rsid w:val="00DC3901"/>
    <w:rsid w:val="00EE5340"/>
    <w:rsid w:val="00F46D5E"/>
    <w:rsid w:val="00F66F95"/>
    <w:rsid w:val="00F674A1"/>
    <w:rsid w:val="00F808B4"/>
    <w:rsid w:val="00F82C13"/>
    <w:rsid w:val="00F8605E"/>
    <w:rsid w:val="00FD23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2016-01-11T18:19:00Z</dcterms:created>
  <dcterms:modified xsi:type="dcterms:W3CDTF">2016-01-11T18:19:00Z</dcterms:modified>
</cp:coreProperties>
</file>