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1272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RESOLUÇÃO Nº 1194/2013, QUE PREVÊ ESTRUTURAÇÃO DO PLANO DE CARGOS E CARREIRAS DOS SERVIDORES DA CÂMARA MUNICIPAL DE POUSO ALEGRE, ESTABELECE NORMAS GERAIS DE ENQUADRAMENTO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cargo de provimento efetivo de Recepcionista, pertencente ao grupo ocupacional II (nível médio), previsto no Anexo I da Resolução n. 1194/2013, fica transformado no cargo efetivo de Agente Administrativo, pertencente ao grupo ocupacional II (nível médio), conforme previsto no Anex</w:t>
      </w:r>
      <w:r w:rsidR="00972408">
        <w:rPr>
          <w:rFonts w:ascii="Times New Roman" w:eastAsia="Times New Roman" w:hAnsi="Times New Roman"/>
          <w:color w:val="000000"/>
        </w:rPr>
        <w:t>o I da Resolução nº 1194/2013.</w:t>
      </w:r>
      <w:r w:rsidR="00972408">
        <w:rPr>
          <w:rFonts w:ascii="Times New Roman" w:eastAsia="Times New Roman" w:hAnsi="Times New Roman"/>
          <w:color w:val="000000"/>
        </w:rPr>
        <w:br/>
      </w: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acrescidas duas vagas ao quantitativo de vagas destinadas ao provimento do cargo de Agente Administrativo, passando o Anexo I da Resolução nº 1.194/2013 a vigorar na forma do Anexo Único desta Resolução.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3º</w:t>
      </w:r>
      <w:r w:rsidR="00972408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Revogam-se as disposições contrárias.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em 1º de janeiro de 2017.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72408" w:rsidRPr="008A77ED" w:rsidRDefault="00972408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28 de Setembro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972408" w:rsidRPr="008A77ED" w:rsidRDefault="00972408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2408" w:rsidRDefault="00972408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2"/>
        <w:gridCol w:w="4322"/>
      </w:tblGrid>
      <w:tr w:rsidR="00972408" w:rsidRPr="00B72663" w:rsidTr="00244F22">
        <w:tc>
          <w:tcPr>
            <w:tcW w:w="4322" w:type="dxa"/>
          </w:tcPr>
          <w:p w:rsidR="00972408" w:rsidRPr="00B72663" w:rsidRDefault="00C94212" w:rsidP="00244F22">
            <w:pPr>
              <w:jc w:val="center"/>
            </w:pPr>
            <w:r>
              <w:rPr>
                <w:b/>
              </w:rPr>
              <w:br w:type="page"/>
            </w:r>
            <w:r w:rsidR="00972408" w:rsidRPr="00B72663">
              <w:t>Mário de Pinho</w:t>
            </w:r>
          </w:p>
        </w:tc>
        <w:tc>
          <w:tcPr>
            <w:tcW w:w="4322" w:type="dxa"/>
          </w:tcPr>
          <w:p w:rsidR="00972408" w:rsidRPr="00B72663" w:rsidRDefault="00972408" w:rsidP="00244F22">
            <w:pPr>
              <w:jc w:val="center"/>
            </w:pPr>
            <w:r w:rsidRPr="00B72663">
              <w:t>Ayrton Zorzi</w:t>
            </w:r>
          </w:p>
        </w:tc>
      </w:tr>
      <w:tr w:rsidR="00972408" w:rsidRPr="00B72663" w:rsidTr="00244F22">
        <w:tc>
          <w:tcPr>
            <w:tcW w:w="4322" w:type="dxa"/>
          </w:tcPr>
          <w:p w:rsidR="00972408" w:rsidRPr="00B72663" w:rsidRDefault="00972408" w:rsidP="00244F22">
            <w:pPr>
              <w:jc w:val="center"/>
              <w:rPr>
                <w:sz w:val="21"/>
                <w:szCs w:val="21"/>
              </w:rPr>
            </w:pPr>
            <w:r w:rsidRPr="00B72663">
              <w:rPr>
                <w:sz w:val="21"/>
                <w:szCs w:val="21"/>
              </w:rPr>
              <w:t>2º VICE-PRESIDENTE</w:t>
            </w:r>
          </w:p>
        </w:tc>
        <w:tc>
          <w:tcPr>
            <w:tcW w:w="4322" w:type="dxa"/>
          </w:tcPr>
          <w:p w:rsidR="00972408" w:rsidRPr="00B72663" w:rsidRDefault="00972408" w:rsidP="00244F22">
            <w:pPr>
              <w:jc w:val="center"/>
              <w:rPr>
                <w:sz w:val="21"/>
                <w:szCs w:val="21"/>
              </w:rPr>
            </w:pPr>
            <w:r w:rsidRPr="00B72663">
              <w:rPr>
                <w:sz w:val="21"/>
                <w:szCs w:val="21"/>
              </w:rPr>
              <w:t>1º SECRETÁRIO</w:t>
            </w:r>
          </w:p>
        </w:tc>
      </w:tr>
    </w:tbl>
    <w:p w:rsidR="00C94212" w:rsidRDefault="00C94212" w:rsidP="00C94212">
      <w:pPr>
        <w:rPr>
          <w:b/>
        </w:rPr>
      </w:pPr>
    </w:p>
    <w:p w:rsidR="00DC6BDC" w:rsidRPr="00DC6BDC" w:rsidRDefault="00DC6BDC" w:rsidP="00DC6BDC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DC6BDC">
        <w:rPr>
          <w:rFonts w:ascii="Times New Roman" w:hAnsi="Times New Roman" w:cs="Times New Roman"/>
          <w:color w:val="auto"/>
        </w:rPr>
        <w:lastRenderedPageBreak/>
        <w:t>ANEXO ÚNICO</w:t>
      </w:r>
      <w:r>
        <w:rPr>
          <w:rFonts w:ascii="Times New Roman" w:hAnsi="Times New Roman" w:cs="Times New Roman"/>
          <w:color w:val="auto"/>
        </w:rPr>
        <w:t xml:space="preserve"> </w:t>
      </w:r>
      <w:r w:rsidRPr="00DC6BDC">
        <w:rPr>
          <w:rFonts w:ascii="Times New Roman" w:hAnsi="Times New Roman" w:cs="Times New Roman"/>
          <w:color w:val="auto"/>
        </w:rPr>
        <w:t>(ANEXO I da Lei nº 5.411, de 13 de dezembro de 2013)</w:t>
      </w:r>
    </w:p>
    <w:p w:rsidR="00DC6BDC" w:rsidRPr="00DC6BDC" w:rsidRDefault="00DC6BDC" w:rsidP="00DC6BDC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DC6BDC">
        <w:rPr>
          <w:rFonts w:ascii="Times New Roman" w:hAnsi="Times New Roman" w:cs="Times New Roman"/>
          <w:color w:val="auto"/>
        </w:rPr>
        <w:t>CARGOS DO QUADRO PERMANENTE DE PESSOAL</w:t>
      </w:r>
    </w:p>
    <w:p w:rsidR="00DC6BDC" w:rsidRDefault="00DC6BDC" w:rsidP="00DC6BDC">
      <w:pPr>
        <w:jc w:val="center"/>
        <w:rPr>
          <w:b/>
        </w:rPr>
      </w:pPr>
    </w:p>
    <w:tbl>
      <w:tblPr>
        <w:tblW w:w="4228" w:type="pct"/>
        <w:jc w:val="center"/>
        <w:tblInd w:w="-12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1794"/>
        <w:gridCol w:w="897"/>
        <w:gridCol w:w="897"/>
        <w:gridCol w:w="2716"/>
      </w:tblGrid>
      <w:tr w:rsidR="00DC6BDC" w:rsidRPr="00500D77" w:rsidTr="00244F22">
        <w:trPr>
          <w:cantSplit/>
          <w:trHeight w:val="645"/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9E4D7B" w:rsidRDefault="00DC6BDC" w:rsidP="00244F22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E4D7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Grupo Ocupa-cional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9E4D7B" w:rsidRDefault="00DC6BDC" w:rsidP="00244F22">
            <w:pPr>
              <w:jc w:val="center"/>
              <w:rPr>
                <w:b/>
              </w:rPr>
            </w:pPr>
            <w:r w:rsidRPr="009E4D7B">
              <w:rPr>
                <w:b/>
              </w:rPr>
              <w:t>Cargo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9E4D7B" w:rsidRDefault="00DC6BDC" w:rsidP="00244F22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E4D7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9E4D7B" w:rsidRDefault="00DC6BDC" w:rsidP="00244F22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E4D7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500D77" w:rsidRDefault="00DC6BDC" w:rsidP="00244F22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E4D7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Agente Administrativo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82684" w:rsidRDefault="00DC6BDC" w:rsidP="00244F22">
            <w:pPr>
              <w:jc w:val="center"/>
              <w:rPr>
                <w:strike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Ensino Médio Completo</w:t>
            </w:r>
            <w:r>
              <w:rPr>
                <w:color w:val="000000"/>
              </w:rPr>
              <w:t xml:space="preserve"> 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Agente Cultural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10104D" w:rsidRDefault="00DC6BDC" w:rsidP="00244F22">
            <w:pPr>
              <w:jc w:val="center"/>
              <w:rPr>
                <w:color w:val="000000"/>
              </w:rPr>
            </w:pPr>
            <w:r w:rsidRPr="0010104D">
              <w:rPr>
                <w:color w:val="000000"/>
              </w:rPr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Ensino Médio Completo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Agente de Tecnologia da Informação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10104D" w:rsidRDefault="00DC6BDC" w:rsidP="00244F22">
            <w:pPr>
              <w:jc w:val="center"/>
              <w:rPr>
                <w:color w:val="000000"/>
              </w:rPr>
            </w:pPr>
            <w:r w:rsidRPr="0010104D">
              <w:rPr>
                <w:color w:val="000000"/>
              </w:rPr>
              <w:t>02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En</w:t>
            </w:r>
            <w:r>
              <w:rPr>
                <w:color w:val="000000"/>
              </w:rPr>
              <w:t>sino Médio Completo e curso de I</w:t>
            </w:r>
            <w:r w:rsidRPr="00D22B29">
              <w:rPr>
                <w:color w:val="000000"/>
              </w:rPr>
              <w:t>nformática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Analista Legislativo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434942" w:rsidRDefault="00DC6BDC" w:rsidP="00244F22">
            <w:pPr>
              <w:jc w:val="center"/>
              <w:rPr>
                <w:highlight w:val="red"/>
              </w:rPr>
            </w:pPr>
            <w:r w:rsidRPr="00906184"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</w:pPr>
            <w:r>
              <w:t>Curso</w:t>
            </w:r>
            <w:r w:rsidRPr="00D22B29">
              <w:t xml:space="preserve"> Superior Completo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Analista de R</w:t>
            </w:r>
            <w:r>
              <w:rPr>
                <w:color w:val="000000"/>
              </w:rPr>
              <w:t xml:space="preserve">ecursos </w:t>
            </w:r>
            <w:r w:rsidRPr="00D22B29">
              <w:rPr>
                <w:color w:val="000000"/>
              </w:rPr>
              <w:t>H</w:t>
            </w:r>
            <w:r>
              <w:rPr>
                <w:color w:val="000000"/>
              </w:rPr>
              <w:t>umanos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2A7F8A" w:rsidRDefault="00DC6BDC" w:rsidP="00244F22">
            <w:pPr>
              <w:jc w:val="center"/>
            </w:pPr>
            <w:r w:rsidRPr="002A7F8A"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E82414" w:rsidRDefault="00DC6BDC" w:rsidP="00244F22">
            <w:pPr>
              <w:jc w:val="center"/>
            </w:pPr>
            <w:r w:rsidRPr="0004681F">
              <w:t xml:space="preserve">Graduação em Administração, inscrição no CRA e 1 (um) ano de experiência profissional na área de recursos humanos 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Analista</w:t>
            </w:r>
            <w:r w:rsidRPr="00D22B29">
              <w:rPr>
                <w:color w:val="000000"/>
              </w:rPr>
              <w:t xml:space="preserve"> de Comunicação Social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2A7F8A" w:rsidRDefault="00DC6BDC" w:rsidP="00244F22">
            <w:pPr>
              <w:jc w:val="center"/>
            </w:pPr>
            <w:r w:rsidRPr="002A7F8A"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</w:pPr>
            <w:r w:rsidRPr="00D22B29">
              <w:t>Gradu</w:t>
            </w:r>
            <w:r>
              <w:t>ação na área de Comunicação Social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Contador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30h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2A7F8A" w:rsidRDefault="00DC6BDC" w:rsidP="00244F22">
            <w:pPr>
              <w:jc w:val="center"/>
            </w:pPr>
            <w:r w:rsidRPr="002A7F8A"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282C1E" w:rsidRDefault="00DC6BDC" w:rsidP="00244F22">
            <w:pPr>
              <w:jc w:val="center"/>
            </w:pPr>
            <w:r w:rsidRPr="0004681F">
              <w:t xml:space="preserve">Graduação em Ciências Contábeis, inscrição no CRC e 1 (um) ano de experiência profissional em Contabilidade. </w:t>
            </w:r>
          </w:p>
        </w:tc>
      </w:tr>
      <w:tr w:rsidR="00DC6BDC" w:rsidRPr="00D22B29" w:rsidTr="00244F22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Procurador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BDC" w:rsidRPr="00D22B29" w:rsidRDefault="00DC6BDC" w:rsidP="00244F22">
            <w:pPr>
              <w:jc w:val="center"/>
              <w:rPr>
                <w:color w:val="000000"/>
              </w:rPr>
            </w:pPr>
            <w:r w:rsidRPr="00D22B29">
              <w:rPr>
                <w:color w:val="000000"/>
              </w:rPr>
              <w:t>20h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434942" w:rsidRDefault="00DC6BDC" w:rsidP="00244F22">
            <w:pPr>
              <w:jc w:val="center"/>
              <w:rPr>
                <w:highlight w:val="red"/>
              </w:rPr>
            </w:pPr>
            <w:r w:rsidRPr="00723EC7">
              <w:t>01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BDC" w:rsidRPr="00D22B29" w:rsidRDefault="00DC6BDC" w:rsidP="00244F22">
            <w:pPr>
              <w:jc w:val="center"/>
            </w:pPr>
            <w:r w:rsidRPr="00D22B29">
              <w:t>Graduação em Direito e inscrição na OAB</w:t>
            </w:r>
          </w:p>
        </w:tc>
      </w:tr>
    </w:tbl>
    <w:p w:rsidR="00DC6BDC" w:rsidRDefault="00DC6BDC" w:rsidP="00DC6BDC"/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Direito contempla, para organização funcional da Administração Pública, o instituto da transformação de cargos públicos, que visa garantir a conformação das atribuições dos cargos públicos às necessidades da Administração. Nessa toada, o cargo de Recepcionista deve ser transformado em Agente Administrativo, cujas atribuições, nível de vencimento e de exigência para ingresso são similares.</w:t>
      </w: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medida visa atender ao princípio da eficiência, previsto no caput do art. 37 da Carta Magna.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28 de Setembro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2"/>
        <w:gridCol w:w="4322"/>
      </w:tblGrid>
      <w:tr w:rsidR="00972408" w:rsidRPr="00B72663" w:rsidTr="00244F22">
        <w:tc>
          <w:tcPr>
            <w:tcW w:w="4322" w:type="dxa"/>
          </w:tcPr>
          <w:p w:rsidR="00972408" w:rsidRPr="00B72663" w:rsidRDefault="00972408" w:rsidP="00244F22">
            <w:pPr>
              <w:jc w:val="center"/>
            </w:pPr>
            <w:r w:rsidRPr="00B72663">
              <w:t>Mário de Pinho</w:t>
            </w:r>
          </w:p>
        </w:tc>
        <w:tc>
          <w:tcPr>
            <w:tcW w:w="4322" w:type="dxa"/>
          </w:tcPr>
          <w:p w:rsidR="00972408" w:rsidRPr="00B72663" w:rsidRDefault="00972408" w:rsidP="00244F22">
            <w:pPr>
              <w:jc w:val="center"/>
            </w:pPr>
            <w:r w:rsidRPr="00B72663">
              <w:t>Ayrton Zorzi</w:t>
            </w:r>
          </w:p>
        </w:tc>
      </w:tr>
      <w:tr w:rsidR="00972408" w:rsidRPr="00B72663" w:rsidTr="00244F22">
        <w:tc>
          <w:tcPr>
            <w:tcW w:w="4322" w:type="dxa"/>
          </w:tcPr>
          <w:p w:rsidR="00972408" w:rsidRPr="00B72663" w:rsidRDefault="00972408" w:rsidP="00244F22">
            <w:pPr>
              <w:jc w:val="center"/>
              <w:rPr>
                <w:sz w:val="21"/>
                <w:szCs w:val="21"/>
              </w:rPr>
            </w:pPr>
            <w:r w:rsidRPr="00B72663">
              <w:rPr>
                <w:sz w:val="21"/>
                <w:szCs w:val="21"/>
              </w:rPr>
              <w:t>2º VICE-PRESIDENTE</w:t>
            </w:r>
          </w:p>
        </w:tc>
        <w:tc>
          <w:tcPr>
            <w:tcW w:w="4322" w:type="dxa"/>
          </w:tcPr>
          <w:p w:rsidR="00972408" w:rsidRPr="00B72663" w:rsidRDefault="00972408" w:rsidP="00244F22">
            <w:pPr>
              <w:jc w:val="center"/>
              <w:rPr>
                <w:sz w:val="21"/>
                <w:szCs w:val="21"/>
              </w:rPr>
            </w:pPr>
            <w:r w:rsidRPr="00B72663">
              <w:rPr>
                <w:sz w:val="21"/>
                <w:szCs w:val="21"/>
              </w:rPr>
              <w:t>1º SECRETÁRIO</w:t>
            </w:r>
          </w:p>
        </w:tc>
      </w:tr>
    </w:tbl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C99" w:rsidRDefault="00590C99" w:rsidP="00FE475D">
      <w:r>
        <w:separator/>
      </w:r>
    </w:p>
  </w:endnote>
  <w:endnote w:type="continuationSeparator" w:id="1">
    <w:p w:rsidR="00590C99" w:rsidRDefault="00590C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28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0C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0C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0C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0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C99" w:rsidRDefault="00590C99" w:rsidP="00FE475D">
      <w:r>
        <w:separator/>
      </w:r>
    </w:p>
  </w:footnote>
  <w:footnote w:type="continuationSeparator" w:id="1">
    <w:p w:rsidR="00590C99" w:rsidRDefault="00590C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0C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28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7283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90C9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90C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0C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3D0BD2"/>
    <w:rsid w:val="00487EB1"/>
    <w:rsid w:val="00567F60"/>
    <w:rsid w:val="00590C99"/>
    <w:rsid w:val="006C3FC6"/>
    <w:rsid w:val="007076AC"/>
    <w:rsid w:val="008A77ED"/>
    <w:rsid w:val="00972408"/>
    <w:rsid w:val="00A31701"/>
    <w:rsid w:val="00AF09C1"/>
    <w:rsid w:val="00AF3A26"/>
    <w:rsid w:val="00B55DC2"/>
    <w:rsid w:val="00B72835"/>
    <w:rsid w:val="00C935C1"/>
    <w:rsid w:val="00C94212"/>
    <w:rsid w:val="00D24611"/>
    <w:rsid w:val="00DC3901"/>
    <w:rsid w:val="00DC6BD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6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C6BD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C6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DC6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2016-01-14T16:57:00Z</dcterms:created>
  <dcterms:modified xsi:type="dcterms:W3CDTF">2016-09-28T21:24:00Z</dcterms:modified>
</cp:coreProperties>
</file>