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7B" w:rsidRDefault="00CE6D7B" w:rsidP="00CE6D7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528/13</w:t>
      </w:r>
    </w:p>
    <w:p w:rsidR="00CE6D7B" w:rsidRDefault="00CE6D7B" w:rsidP="00CE6D7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E6D7B" w:rsidRPr="00BE0199" w:rsidRDefault="00CE6D7B" w:rsidP="00CE6D7B">
      <w:pPr>
        <w:ind w:left="3118"/>
        <w:jc w:val="both"/>
        <w:rPr>
          <w:rFonts w:ascii="Times New Roman" w:hAnsi="Times New Roman"/>
          <w:b/>
          <w:sz w:val="24"/>
        </w:rPr>
      </w:pPr>
      <w:r w:rsidRPr="00BE0199">
        <w:rPr>
          <w:rFonts w:ascii="Times New Roman" w:hAnsi="Times New Roman"/>
          <w:b/>
          <w:sz w:val="24"/>
        </w:rPr>
        <w:t xml:space="preserve">ALTERA </w:t>
      </w:r>
      <w:r>
        <w:rPr>
          <w:rFonts w:ascii="Times New Roman" w:hAnsi="Times New Roman"/>
          <w:b/>
          <w:sz w:val="24"/>
        </w:rPr>
        <w:t>O</w:t>
      </w:r>
      <w:r w:rsidRPr="00BE0199">
        <w:rPr>
          <w:rFonts w:ascii="Times New Roman" w:hAnsi="Times New Roman"/>
          <w:b/>
          <w:sz w:val="24"/>
        </w:rPr>
        <w:t xml:space="preserve"> ART</w:t>
      </w:r>
      <w:r>
        <w:rPr>
          <w:rFonts w:ascii="Times New Roman" w:hAnsi="Times New Roman"/>
          <w:b/>
          <w:sz w:val="24"/>
        </w:rPr>
        <w:t xml:space="preserve">IGO </w:t>
      </w:r>
      <w:r w:rsidRPr="00BE0199">
        <w:rPr>
          <w:rFonts w:ascii="Times New Roman" w:hAnsi="Times New Roman"/>
          <w:b/>
          <w:sz w:val="24"/>
        </w:rPr>
        <w:t>22 (CAPUT) E ACRESCENTA OS</w:t>
      </w:r>
      <w:r>
        <w:rPr>
          <w:rFonts w:ascii="Times New Roman" w:hAnsi="Times New Roman"/>
          <w:b/>
          <w:sz w:val="24"/>
        </w:rPr>
        <w:t xml:space="preserve"> PARÁGRAFOS 4º A 10</w:t>
      </w:r>
      <w:r w:rsidRPr="00BE0199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DA LEI MUNICIPAL N. 4.862/2009.</w:t>
      </w:r>
    </w:p>
    <w:p w:rsidR="00CE6D7B" w:rsidRDefault="00CE6D7B" w:rsidP="00CE6D7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E6D7B" w:rsidRDefault="00CE6D7B" w:rsidP="00CE6D7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E6D7B" w:rsidRDefault="00CE6D7B" w:rsidP="00CE6D7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Cs/>
          <w:sz w:val="24"/>
          <w:szCs w:val="22"/>
        </w:rPr>
      </w:pPr>
      <w:r>
        <w:rPr>
          <w:rFonts w:ascii="Arial" w:eastAsia="Arial Unicode MS" w:hAnsi="Arial" w:cs="Arial"/>
          <w:bCs/>
          <w:sz w:val="24"/>
          <w:szCs w:val="22"/>
        </w:rPr>
        <w:t>A Câmara Municipal de Pouso Alegre, Estado de Minas Gerais, aprova e o Chefe do Poder Executivo sanciona e promulga a seguinte Lei: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Cs/>
          <w:sz w:val="24"/>
          <w:szCs w:val="22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Cs/>
          <w:sz w:val="24"/>
          <w:szCs w:val="22"/>
        </w:rPr>
      </w:pPr>
      <w:r>
        <w:rPr>
          <w:rFonts w:ascii="Arial" w:eastAsia="Arial Unicode MS" w:hAnsi="Arial" w:cs="Arial"/>
          <w:b/>
          <w:bCs/>
          <w:sz w:val="24"/>
          <w:szCs w:val="22"/>
        </w:rPr>
        <w:t>Art. 1º.</w:t>
      </w:r>
      <w:r>
        <w:rPr>
          <w:rFonts w:ascii="Arial" w:eastAsia="Arial Unicode MS" w:hAnsi="Arial" w:cs="Arial"/>
          <w:bCs/>
          <w:sz w:val="24"/>
          <w:szCs w:val="22"/>
        </w:rPr>
        <w:t xml:space="preserve"> O art. 22, da Lei Municipal n. 4.862/2009, passa a vigorar com a seguinte redação: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Cs/>
          <w:sz w:val="24"/>
          <w:szCs w:val="22"/>
        </w:rPr>
      </w:pPr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“Art. 22. O desmembramento de gleba em lotes, somente será aprovado quando a via onde estiver situado o imóvel for dotada de toda a </w:t>
      </w:r>
      <w:proofErr w:type="spellStart"/>
      <w:r>
        <w:rPr>
          <w:rFonts w:ascii="Arial" w:eastAsia="Arial Unicode MS" w:hAnsi="Arial" w:cs="Arial"/>
          <w:b/>
          <w:bCs/>
          <w:i/>
          <w:sz w:val="24"/>
          <w:szCs w:val="22"/>
        </w:rPr>
        <w:t>infraestrutura</w:t>
      </w:r>
      <w:proofErr w:type="spellEnd"/>
      <w:r>
        <w:rPr>
          <w:rFonts w:ascii="Arial" w:eastAsia="Arial Unicode MS" w:hAnsi="Arial" w:cs="Arial"/>
          <w:b/>
          <w:bCs/>
          <w:i/>
          <w:sz w:val="24"/>
          <w:szCs w:val="22"/>
        </w:rPr>
        <w:t>, compreendendo pavimentação, meio-fio, rede água potável e pluvial, rede de esgoto e iluminação pública</w:t>
      </w:r>
      <w:r>
        <w:rPr>
          <w:rFonts w:ascii="Arial" w:eastAsia="Arial Unicode MS" w:hAnsi="Arial" w:cs="Arial"/>
          <w:bCs/>
          <w:sz w:val="24"/>
          <w:szCs w:val="22"/>
        </w:rPr>
        <w:t>.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12"/>
          <w:szCs w:val="22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§ 1º. Quando a via não estiver composta por </w:t>
      </w:r>
      <w:proofErr w:type="spellStart"/>
      <w:r>
        <w:rPr>
          <w:rFonts w:ascii="Arial" w:eastAsia="Arial Unicode MS" w:hAnsi="Arial" w:cs="Arial"/>
          <w:b/>
          <w:bCs/>
          <w:i/>
          <w:sz w:val="24"/>
          <w:szCs w:val="22"/>
        </w:rPr>
        <w:t>infraestrutura</w:t>
      </w:r>
      <w:proofErr w:type="spellEnd"/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 caberá ao proprietário realizar os serviços de conformação da geometria e </w:t>
      </w:r>
      <w:proofErr w:type="spellStart"/>
      <w:r>
        <w:rPr>
          <w:rFonts w:ascii="Arial" w:eastAsia="Arial Unicode MS" w:hAnsi="Arial" w:cs="Arial"/>
          <w:b/>
          <w:bCs/>
          <w:i/>
          <w:sz w:val="24"/>
          <w:szCs w:val="22"/>
        </w:rPr>
        <w:t>greide</w:t>
      </w:r>
      <w:proofErr w:type="spellEnd"/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 para atender às larguras e rampas prescritas nesta lei, pavimentação, meio-fio, rede água, esgoto e iluminação pública, devendo caucionar lotes em garantia pela execução das obras, que deverão ser realizadas no prazo previsto na Lei Federal n. 6.766/79.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Cs/>
          <w:i/>
          <w:sz w:val="12"/>
          <w:szCs w:val="22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§ 2º.  Nos casos de impossibilidade de caucionar lotes, devidamente justificados, deverá constar na matrícula do imóvel desmembrado a responsabilidade pelas obras de </w:t>
      </w:r>
      <w:proofErr w:type="spellStart"/>
      <w:r>
        <w:rPr>
          <w:rFonts w:ascii="Arial" w:eastAsia="Arial Unicode MS" w:hAnsi="Arial" w:cs="Arial"/>
          <w:b/>
          <w:bCs/>
          <w:i/>
          <w:sz w:val="24"/>
          <w:szCs w:val="22"/>
        </w:rPr>
        <w:t>infraestrutura</w:t>
      </w:r>
      <w:proofErr w:type="spellEnd"/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 na via, não podendo ser aprovado projeto de edificação, no local, sem o cumprimento da obrigação pelas obras de </w:t>
      </w:r>
      <w:proofErr w:type="spellStart"/>
      <w:r>
        <w:rPr>
          <w:rFonts w:ascii="Arial" w:eastAsia="Arial Unicode MS" w:hAnsi="Arial" w:cs="Arial"/>
          <w:b/>
          <w:bCs/>
          <w:i/>
          <w:sz w:val="24"/>
          <w:szCs w:val="22"/>
        </w:rPr>
        <w:t>infraestrutura</w:t>
      </w:r>
      <w:proofErr w:type="spellEnd"/>
      <w:r>
        <w:rPr>
          <w:rFonts w:ascii="Arial" w:eastAsia="Arial Unicode MS" w:hAnsi="Arial" w:cs="Arial"/>
          <w:b/>
          <w:bCs/>
          <w:i/>
          <w:sz w:val="24"/>
          <w:szCs w:val="22"/>
        </w:rPr>
        <w:t>.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  <w:r>
        <w:rPr>
          <w:rFonts w:ascii="Arial" w:eastAsia="Arial Unicode MS" w:hAnsi="Arial" w:cs="Arial"/>
          <w:b/>
          <w:bCs/>
          <w:i/>
          <w:sz w:val="24"/>
          <w:szCs w:val="22"/>
        </w:rPr>
        <w:t xml:space="preserve">§ 3º. Consideram-se casos justificados: extinção de condomínio, liquidação de sociedade empresária e homologação de partilhas por direito de herança. </w:t>
      </w:r>
    </w:p>
    <w:p w:rsidR="00CE6D7B" w:rsidRDefault="00CE6D7B" w:rsidP="00CE6D7B">
      <w:pPr>
        <w:pStyle w:val="artigo2"/>
        <w:spacing w:before="0" w:line="360" w:lineRule="auto"/>
        <w:ind w:firstLine="3118"/>
        <w:rPr>
          <w:rFonts w:ascii="Arial" w:eastAsia="Arial Unicode MS" w:hAnsi="Arial" w:cs="Arial"/>
          <w:b/>
          <w:bCs/>
          <w:i/>
          <w:sz w:val="24"/>
          <w:szCs w:val="22"/>
        </w:rPr>
      </w:pP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>
        <w:rPr>
          <w:rFonts w:ascii="Arial" w:eastAsia="Arial Unicode MS" w:hAnsi="Arial" w:cs="Arial"/>
          <w:b/>
          <w:bCs/>
          <w:i/>
          <w:szCs w:val="22"/>
        </w:rPr>
        <w:t xml:space="preserve">§ 4º </w:t>
      </w:r>
      <w:r>
        <w:rPr>
          <w:rFonts w:ascii="Arial" w:eastAsia="Arial Unicode MS" w:hAnsi="Arial" w:cs="Arial"/>
          <w:b/>
          <w:i/>
          <w:szCs w:val="22"/>
        </w:rPr>
        <w:t>Os desmembramentos propostos para áreas de interesse cultural, paisagístico e/ou ambiental, sujeitam-se ao controle ambiental por parte dos órgãos municipais competentes.</w:t>
      </w: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 w:val="14"/>
          <w:szCs w:val="22"/>
        </w:rPr>
      </w:pP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>
        <w:rPr>
          <w:rFonts w:ascii="Arial" w:eastAsia="Arial Unicode MS" w:hAnsi="Arial" w:cs="Arial"/>
          <w:b/>
          <w:i/>
          <w:szCs w:val="22"/>
        </w:rPr>
        <w:t>§ 5º. Quando o desmembramento destinar a fins residenciais, com área superior a 5.000,00</w:t>
      </w:r>
      <w:proofErr w:type="spellStart"/>
      <w:r>
        <w:rPr>
          <w:rFonts w:ascii="Arial" w:eastAsia="Arial Unicode MS" w:hAnsi="Arial" w:cs="Arial"/>
          <w:b/>
          <w:i/>
          <w:szCs w:val="22"/>
        </w:rPr>
        <w:t>m²</w:t>
      </w:r>
      <w:proofErr w:type="spellEnd"/>
      <w:r>
        <w:rPr>
          <w:rFonts w:ascii="Arial" w:eastAsia="Arial Unicode MS" w:hAnsi="Arial" w:cs="Arial"/>
          <w:b/>
          <w:i/>
          <w:szCs w:val="22"/>
        </w:rPr>
        <w:t xml:space="preserve"> (cinco mil metros quadrados) deverá ser reservado um percentual de 15% (quinze por cento) da área desmembrada, destinado exclusivamente para equipamentos públicos urbanos e comunitários, bem como espaços livres de uso público.</w:t>
      </w:r>
    </w:p>
    <w:p w:rsidR="00CE6D7B" w:rsidRPr="00492231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</w:p>
    <w:p w:rsidR="00CE6D7B" w:rsidRPr="00492231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 w:rsidRPr="00492231">
        <w:rPr>
          <w:rFonts w:ascii="Arial" w:eastAsia="Arial Unicode MS" w:hAnsi="Arial" w:cs="Arial"/>
          <w:b/>
          <w:i/>
          <w:szCs w:val="22"/>
        </w:rPr>
        <w:t>§ 6º. O desmembramento de gleba que originar área inferior ou igual a 5.000,00</w:t>
      </w:r>
      <w:proofErr w:type="spellStart"/>
      <w:r w:rsidRPr="00492231">
        <w:rPr>
          <w:rFonts w:ascii="Arial" w:eastAsia="Arial Unicode MS" w:hAnsi="Arial" w:cs="Arial"/>
          <w:b/>
          <w:i/>
          <w:szCs w:val="22"/>
        </w:rPr>
        <w:t>m²</w:t>
      </w:r>
      <w:proofErr w:type="spellEnd"/>
      <w:r w:rsidRPr="00492231">
        <w:rPr>
          <w:rFonts w:ascii="Arial" w:eastAsia="Arial Unicode MS" w:hAnsi="Arial" w:cs="Arial"/>
          <w:b/>
          <w:i/>
          <w:szCs w:val="22"/>
        </w:rPr>
        <w:t xml:space="preserve"> (cinco mil metros quadrados), para fins residenciais deverá ser reservado percentual de 15% (quinze por cento), podendo neste caso a transferência ser feita, em espécie, para o Fundo Municipal de Habitação de Interesse Social, Fundo Municipal do Meio Ambiente ou Fundo Municipal de Urbanismo, em função do interesse público, calculando-se seu valor através da Planta de Valores de Terrenos (PVT), usado para </w:t>
      </w:r>
      <w:proofErr w:type="gramStart"/>
      <w:r w:rsidRPr="00492231">
        <w:rPr>
          <w:rFonts w:ascii="Arial" w:eastAsia="Arial Unicode MS" w:hAnsi="Arial" w:cs="Arial"/>
          <w:b/>
          <w:i/>
          <w:szCs w:val="22"/>
        </w:rPr>
        <w:t>cálculo do Imposto de Transmissão Inter-Vivos de Bens Imóveis</w:t>
      </w:r>
      <w:proofErr w:type="gramEnd"/>
      <w:r w:rsidRPr="00492231">
        <w:rPr>
          <w:rFonts w:ascii="Arial" w:eastAsia="Arial Unicode MS" w:hAnsi="Arial" w:cs="Arial"/>
          <w:b/>
          <w:i/>
          <w:szCs w:val="22"/>
        </w:rPr>
        <w:t xml:space="preserve"> (ITBI).</w:t>
      </w: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>
        <w:rPr>
          <w:rFonts w:ascii="Arial" w:eastAsia="Arial Unicode MS" w:hAnsi="Arial" w:cs="Arial"/>
          <w:b/>
          <w:i/>
          <w:szCs w:val="22"/>
        </w:rPr>
        <w:t>§ 7º. No desmembramento destinado a instalações para fins comerciais, a transferência prevista no § 4º, poderá ser equivalente, em espécie, para o Fundo Municipal de Habitação</w:t>
      </w:r>
      <w:r>
        <w:rPr>
          <w:rFonts w:ascii="Arial" w:hAnsi="Arial" w:cs="Arial"/>
          <w:b/>
          <w:i/>
          <w:szCs w:val="22"/>
        </w:rPr>
        <w:t xml:space="preserve"> de Interesse Social,</w:t>
      </w:r>
      <w:r>
        <w:rPr>
          <w:rFonts w:ascii="Arial" w:eastAsia="Arial Unicode MS" w:hAnsi="Arial" w:cs="Arial"/>
          <w:b/>
          <w:i/>
          <w:szCs w:val="22"/>
        </w:rPr>
        <w:t xml:space="preserve"> Fundo Municipal do Meio Ambiente ou Fundo Municipal de Urbanismo, em função do interesse público, calculando-se seu valor </w:t>
      </w:r>
      <w:r>
        <w:rPr>
          <w:rFonts w:ascii="Arial" w:eastAsia="Arial Unicode MS" w:hAnsi="Arial" w:cs="Arial"/>
          <w:b/>
          <w:i/>
          <w:szCs w:val="22"/>
        </w:rPr>
        <w:lastRenderedPageBreak/>
        <w:t xml:space="preserve">através da Planta de Valores de Terrenos (PVT), usada para cálculo do Imposto sobre </w:t>
      </w:r>
      <w:proofErr w:type="gramStart"/>
      <w:r>
        <w:rPr>
          <w:rFonts w:ascii="Arial" w:eastAsia="Arial Unicode MS" w:hAnsi="Arial" w:cs="Arial"/>
          <w:b/>
          <w:i/>
          <w:szCs w:val="22"/>
        </w:rPr>
        <w:t>Transmissão Inter-Vivos de Bens Imóveis</w:t>
      </w:r>
      <w:proofErr w:type="gramEnd"/>
      <w:r>
        <w:rPr>
          <w:rFonts w:ascii="Arial" w:eastAsia="Arial Unicode MS" w:hAnsi="Arial" w:cs="Arial"/>
          <w:b/>
          <w:i/>
          <w:szCs w:val="22"/>
        </w:rPr>
        <w:t xml:space="preserve"> (ITBI).</w:t>
      </w: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>
        <w:rPr>
          <w:rFonts w:ascii="Arial" w:eastAsia="Arial Unicode MS" w:hAnsi="Arial" w:cs="Arial"/>
          <w:b/>
          <w:i/>
          <w:szCs w:val="22"/>
        </w:rPr>
        <w:t>§ 8º. O desmembramento de imóvel situado no perímetro urbano, ainda inscrito no INCRA, ficará sujeito ao percentual previsto no § 4º, que deverá ser observado no momento de aprovação do projeto de edificação.</w:t>
      </w: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Cs w:val="22"/>
        </w:rPr>
      </w:pPr>
      <w:r>
        <w:rPr>
          <w:rFonts w:ascii="Arial" w:eastAsia="Arial Unicode MS" w:hAnsi="Arial" w:cs="Arial"/>
          <w:b/>
          <w:i/>
          <w:szCs w:val="22"/>
        </w:rPr>
        <w:t xml:space="preserve">§ 9º. O requisito previsto no § 7º deverá ser inserido no Boletim Cadastral do Imóvel, no momento do lançamento do IPTU. </w:t>
      </w:r>
    </w:p>
    <w:p w:rsidR="00CE6D7B" w:rsidRDefault="00CE6D7B" w:rsidP="00CE6D7B">
      <w:pPr>
        <w:spacing w:line="360" w:lineRule="auto"/>
        <w:ind w:firstLine="3118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§ 10. São excluídas da exigência prevista no § 4, as seguintes hipóteses, desde que sejam respeitadas as determinações da lei federal referente às necessidades de equipamentos públicos para os empreendimentos:</w:t>
      </w:r>
    </w:p>
    <w:p w:rsidR="00CE6D7B" w:rsidRDefault="00CE6D7B" w:rsidP="00CE6D7B">
      <w:pPr>
        <w:spacing w:line="360" w:lineRule="auto"/>
        <w:ind w:firstLine="3118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I - No desmembramento de gleba com a finalidade de edificação de conjuntos habitacionais de interesse social vinculado a programa social da União, do Estado ou do Município; </w:t>
      </w:r>
    </w:p>
    <w:p w:rsidR="00CE6D7B" w:rsidRDefault="00CE6D7B" w:rsidP="00CE6D7B">
      <w:pPr>
        <w:spacing w:line="360" w:lineRule="auto"/>
        <w:ind w:firstLine="3118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II -</w:t>
      </w:r>
      <w:proofErr w:type="gramStart"/>
      <w:r>
        <w:rPr>
          <w:rFonts w:ascii="Arial" w:hAnsi="Arial" w:cs="Arial"/>
          <w:b/>
          <w:i/>
          <w:sz w:val="24"/>
        </w:rPr>
        <w:t xml:space="preserve">  </w:t>
      </w:r>
      <w:proofErr w:type="gramEnd"/>
      <w:r>
        <w:rPr>
          <w:rFonts w:ascii="Arial" w:hAnsi="Arial" w:cs="Arial"/>
          <w:b/>
          <w:i/>
          <w:sz w:val="24"/>
        </w:rPr>
        <w:t>desmembramento de glebas, em área industrial, destinada a implantação de indústrias.”</w:t>
      </w:r>
    </w:p>
    <w:p w:rsidR="00CE6D7B" w:rsidRDefault="00CE6D7B" w:rsidP="00CE6D7B">
      <w:pPr>
        <w:pStyle w:val="Corpodetexto"/>
        <w:spacing w:after="0" w:line="360" w:lineRule="auto"/>
        <w:ind w:firstLine="3118"/>
        <w:jc w:val="both"/>
        <w:rPr>
          <w:rFonts w:ascii="Arial" w:eastAsia="Arial Unicode MS" w:hAnsi="Arial" w:cs="Arial"/>
          <w:b/>
          <w:i/>
          <w:sz w:val="6"/>
          <w:szCs w:val="22"/>
        </w:rPr>
      </w:pPr>
    </w:p>
    <w:p w:rsidR="00CE6D7B" w:rsidRDefault="00CE6D7B" w:rsidP="00CE6D7B">
      <w:pPr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 2º.</w:t>
      </w:r>
      <w:r>
        <w:rPr>
          <w:rFonts w:ascii="Arial" w:hAnsi="Arial" w:cs="Arial"/>
          <w:sz w:val="24"/>
        </w:rPr>
        <w:t xml:space="preserve"> Revogadas as disposições em contrário, esta Lei entra em vigor na data de sua publicação.</w:t>
      </w:r>
    </w:p>
    <w:p w:rsidR="00CE6D7B" w:rsidRDefault="00CE6D7B" w:rsidP="00CE6D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PREFEITURA MUNICIPAL DE POUSO ALEGRE, 08 DE AGOSTO DE 2013.</w:t>
      </w:r>
    </w:p>
    <w:p w:rsidR="00CE6D7B" w:rsidRDefault="00CE6D7B" w:rsidP="00CE6D7B">
      <w:pPr>
        <w:jc w:val="center"/>
        <w:rPr>
          <w:rFonts w:ascii="Arial" w:hAnsi="Arial" w:cs="Arial"/>
          <w:b/>
          <w:sz w:val="6"/>
        </w:rPr>
      </w:pPr>
    </w:p>
    <w:p w:rsidR="00CE6D7B" w:rsidRPr="00EC2487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  <w:r w:rsidRPr="00EC2487">
        <w:rPr>
          <w:rFonts w:ascii="Arial" w:hAnsi="Arial" w:cs="Arial"/>
          <w:b/>
          <w:sz w:val="24"/>
        </w:rPr>
        <w:t xml:space="preserve">Agnaldo </w:t>
      </w:r>
      <w:proofErr w:type="spellStart"/>
      <w:r w:rsidRPr="00EC2487">
        <w:rPr>
          <w:rFonts w:ascii="Arial" w:hAnsi="Arial" w:cs="Arial"/>
          <w:b/>
          <w:sz w:val="24"/>
        </w:rPr>
        <w:t>Perugini</w:t>
      </w:r>
      <w:proofErr w:type="spellEnd"/>
    </w:p>
    <w:p w:rsidR="00CE6D7B" w:rsidRPr="00EC2487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  <w:r w:rsidRPr="00EC2487">
        <w:rPr>
          <w:rFonts w:ascii="Arial" w:hAnsi="Arial" w:cs="Arial"/>
          <w:b/>
          <w:sz w:val="24"/>
        </w:rPr>
        <w:t>PREFEITO MUNICIPAL</w:t>
      </w: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16"/>
        </w:rPr>
      </w:pP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Márcio José Faria</w:t>
      </w: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CHEFE DE GABINETE</w:t>
      </w: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</w:p>
    <w:p w:rsidR="00CE6D7B" w:rsidRDefault="00CE6D7B" w:rsidP="00CE6D7B">
      <w:pPr>
        <w:spacing w:after="0"/>
        <w:jc w:val="center"/>
        <w:rPr>
          <w:rFonts w:ascii="Arial" w:hAnsi="Arial" w:cs="Arial"/>
          <w:b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J U S T I F I C A T I V A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left="31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Senhora Presidenta, ilustre Vereadora e Vereadores,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Pr="00352BFA" w:rsidRDefault="00CE6D7B" w:rsidP="00CE6D7B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Ref.: </w:t>
      </w:r>
      <w:r w:rsidRPr="00352BFA">
        <w:rPr>
          <w:rFonts w:ascii="Arial" w:hAnsi="Arial" w:cs="Arial"/>
          <w:b/>
          <w:sz w:val="24"/>
          <w:u w:val="single"/>
        </w:rPr>
        <w:t>Projeto de Lei n. 528/2013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2"/>
        </w:rPr>
      </w:pPr>
    </w:p>
    <w:p w:rsidR="00CE6D7B" w:rsidRPr="005800EC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  <w:u w:val="single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art. 1</w:t>
      </w:r>
      <w:r w:rsidRPr="00E840DB">
        <w:rPr>
          <w:rFonts w:ascii="Arial" w:hAnsi="Arial" w:cs="Arial"/>
          <w:sz w:val="24"/>
        </w:rPr>
        <w:t>º do Projeto está proposta a modificação ao art. 22</w:t>
      </w:r>
      <w:r>
        <w:rPr>
          <w:rFonts w:ascii="Arial" w:hAnsi="Arial" w:cs="Arial"/>
          <w:sz w:val="24"/>
        </w:rPr>
        <w:t xml:space="preserve"> e seus</w:t>
      </w:r>
      <w:r w:rsidRPr="00E840DB">
        <w:rPr>
          <w:rFonts w:ascii="Arial" w:hAnsi="Arial" w:cs="Arial"/>
          <w:sz w:val="24"/>
        </w:rPr>
        <w:t xml:space="preserve"> parág</w:t>
      </w:r>
      <w:r>
        <w:rPr>
          <w:rFonts w:ascii="Arial" w:hAnsi="Arial" w:cs="Arial"/>
          <w:sz w:val="24"/>
        </w:rPr>
        <w:t xml:space="preserve">rafos, com acréscimos dos parágrafos 4º </w:t>
      </w:r>
      <w:proofErr w:type="gramStart"/>
      <w:r>
        <w:rPr>
          <w:rFonts w:ascii="Arial" w:hAnsi="Arial" w:cs="Arial"/>
          <w:sz w:val="24"/>
        </w:rPr>
        <w:t>ao 10</w:t>
      </w:r>
      <w:proofErr w:type="gramEnd"/>
      <w:r>
        <w:rPr>
          <w:rFonts w:ascii="Arial" w:hAnsi="Arial" w:cs="Arial"/>
          <w:sz w:val="24"/>
        </w:rPr>
        <w:t xml:space="preserve">, que tratam de desmembramento de imóvel. 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Lei Federal n. 6.766/79, define no seu art. 2º, §§ 1º e 2º, o que é loteamento e desmembramento, vejamos:</w:t>
      </w:r>
    </w:p>
    <w:p w:rsidR="00CE6D7B" w:rsidRPr="001A407A" w:rsidRDefault="00CE6D7B" w:rsidP="00CE6D7B">
      <w:pPr>
        <w:spacing w:after="0"/>
        <w:ind w:firstLine="3118"/>
        <w:jc w:val="both"/>
        <w:rPr>
          <w:rFonts w:ascii="Arial" w:hAnsi="Arial" w:cs="Arial"/>
          <w:b/>
          <w:i/>
          <w:sz w:val="24"/>
        </w:rPr>
      </w:pPr>
    </w:p>
    <w:p w:rsidR="00CE6D7B" w:rsidRPr="001A407A" w:rsidRDefault="00CE6D7B" w:rsidP="00CE6D7B">
      <w:pPr>
        <w:spacing w:after="0"/>
        <w:ind w:firstLine="3118"/>
        <w:jc w:val="both"/>
        <w:rPr>
          <w:rFonts w:ascii="Arial" w:hAnsi="Arial" w:cs="Arial"/>
          <w:b/>
          <w:i/>
          <w:sz w:val="24"/>
        </w:rPr>
      </w:pPr>
      <w:r w:rsidRPr="001A407A">
        <w:rPr>
          <w:rFonts w:ascii="Arial" w:hAnsi="Arial" w:cs="Arial"/>
          <w:b/>
          <w:i/>
          <w:sz w:val="24"/>
        </w:rPr>
        <w:t>“Art. 2º.</w:t>
      </w:r>
      <w:proofErr w:type="gramStart"/>
      <w:r w:rsidRPr="001A407A">
        <w:rPr>
          <w:rFonts w:ascii="Arial" w:hAnsi="Arial" w:cs="Arial"/>
          <w:b/>
          <w:i/>
          <w:sz w:val="24"/>
        </w:rPr>
        <w:t xml:space="preserve">  </w:t>
      </w:r>
      <w:proofErr w:type="gramEnd"/>
      <w:r w:rsidRPr="001A407A">
        <w:rPr>
          <w:rFonts w:ascii="Arial" w:hAnsi="Arial" w:cs="Arial"/>
          <w:b/>
          <w:i/>
          <w:sz w:val="24"/>
        </w:rPr>
        <w:t>[...]</w:t>
      </w:r>
    </w:p>
    <w:p w:rsidR="00CE6D7B" w:rsidRPr="001A407A" w:rsidRDefault="00CE6D7B" w:rsidP="00CE6D7B">
      <w:pPr>
        <w:spacing w:after="0"/>
        <w:ind w:firstLine="3118"/>
        <w:jc w:val="both"/>
        <w:rPr>
          <w:rFonts w:ascii="Arial" w:hAnsi="Arial" w:cs="Arial"/>
          <w:b/>
          <w:i/>
          <w:sz w:val="24"/>
        </w:rPr>
      </w:pPr>
    </w:p>
    <w:p w:rsidR="00CE6D7B" w:rsidRPr="001A407A" w:rsidRDefault="00CE6D7B" w:rsidP="00CE6D7B">
      <w:pPr>
        <w:spacing w:after="0"/>
        <w:ind w:firstLine="3118"/>
        <w:jc w:val="both"/>
        <w:rPr>
          <w:rFonts w:ascii="Arial" w:hAnsi="Arial" w:cs="Arial"/>
          <w:b/>
          <w:i/>
          <w:sz w:val="24"/>
        </w:rPr>
      </w:pPr>
      <w:r w:rsidRPr="001A407A">
        <w:rPr>
          <w:rFonts w:ascii="Arial" w:hAnsi="Arial" w:cs="Arial"/>
          <w:b/>
          <w:i/>
          <w:sz w:val="24"/>
        </w:rPr>
        <w:t>§ 1º. Considera-se loteamento a subdivisão de gleba em lotes destinados a edificação, com abertura de novas vias de circulação, de logradouros públicos ou prolongamento, modificação ou ampliação das vias existentes.</w:t>
      </w:r>
    </w:p>
    <w:p w:rsidR="00CE6D7B" w:rsidRPr="001A407A" w:rsidRDefault="00CE6D7B" w:rsidP="00CE6D7B">
      <w:pPr>
        <w:spacing w:after="0"/>
        <w:ind w:firstLine="3118"/>
        <w:jc w:val="both"/>
        <w:rPr>
          <w:rFonts w:ascii="Arial" w:hAnsi="Arial" w:cs="Arial"/>
          <w:b/>
          <w:i/>
          <w:sz w:val="24"/>
        </w:rPr>
      </w:pPr>
    </w:p>
    <w:p w:rsidR="00CE6D7B" w:rsidRPr="00E840D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 w:rsidRPr="001A407A">
        <w:rPr>
          <w:rFonts w:ascii="Arial" w:hAnsi="Arial" w:cs="Arial"/>
          <w:b/>
          <w:i/>
          <w:sz w:val="24"/>
        </w:rPr>
        <w:t xml:space="preserve">§ 2º. </w:t>
      </w:r>
      <w:proofErr w:type="gramStart"/>
      <w:r w:rsidRPr="001A407A">
        <w:rPr>
          <w:rFonts w:ascii="Arial" w:hAnsi="Arial" w:cs="Arial"/>
          <w:b/>
          <w:i/>
          <w:sz w:val="24"/>
        </w:rPr>
        <w:t>Considera-se desmembramento a subdivisão de gleba em lotes destinados a edificação, com aproveitamento do sistema viário existente, desde que não implique na abertura de novas vias e logradouros públicos, nem no prolongamento, modificação ou ampliação dos já existentes”</w:t>
      </w:r>
      <w:proofErr w:type="gramEnd"/>
      <w:r w:rsidRPr="001A407A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Lei Municipal 4.862/2009 trouxe em seu art. 22 e parágrafos, dispositivos aplicáveis ao desmembramento de imóvel. Fixou um percentual de 15% (quinze por cento) da gleba, destinado a equipamentos públicos e comunitários, bem como espaços livres de uso público.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dispositivo, indubitavelmente, de grande valia, visa garantir espaços, especialmente, para postos de saúde e escolas municipais, para a população local, considerando que, com o desmembramento da gleba que aproveita o sistema viário do loteamento, ocorrerá um aumento populacional, não previsto na aprovação do loteamento, originalmente.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Exemplificando: em um loteamento de 240 (duzentos e quarenta) lotes, com área total de 100.000,00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(cem mil metros quadrados), o montante da área pública destinada aos equipamentos públicos e comunitários seria de 15.000,00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(quinze mil metros quadrados). No mesmo loteamento com área de 100.000,00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(cem mil metros quadrados) em que ficar uma área remanescente de 30.000,00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(trinta mil metros quadrados), o montante das áreas destinadas aos equipamentos públicos e comunitários cairia para 10.500,00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>. Entretanto, aproveitando o sistema viário a área poderia ser desmembrada em lotes, sem a correspondente doação de área do Município, o que comprometeria a assistência à população, pois, aumentaria a população sem área pública para escolas e postos de saúde e outros equipamentos. Este o fundamento do percentual previsto no art. 22, para desmembramento em lotes, porém, tal dispositivo, na forma que está previsto, será aplicado para o desmembramento em glebas ou lotes.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Pr="00360318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  <w:u w:val="double"/>
        </w:rPr>
      </w:pPr>
      <w:r>
        <w:rPr>
          <w:rFonts w:ascii="Arial" w:hAnsi="Arial" w:cs="Arial"/>
          <w:sz w:val="24"/>
        </w:rPr>
        <w:t>Assim, uma gleba de 100.000,00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(dez mil metros quadrados), se desdobrada em duas de 50.000,00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cinquenta</w:t>
      </w:r>
      <w:proofErr w:type="spellEnd"/>
      <w:r>
        <w:rPr>
          <w:rFonts w:ascii="Arial" w:hAnsi="Arial" w:cs="Arial"/>
          <w:sz w:val="24"/>
        </w:rPr>
        <w:t xml:space="preserve"> mil metros quadrados), terá que transferir ao Município 15.000,00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 xml:space="preserve"> (quinze mil metros quadrados). Desta forma, no momento de lotear o empreendedor teria que doar, novamente, 15% (quinze por cento) da área.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de um lado a propriedade tem sua função social, por outro lado, não pode ser inviabilizado o seu aproveitamento econômico, pois, servirá a toda sociedade, através de criação de empregos, geração de impostos e outros benefícios.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presente Projeto de Lei visa alterar a redação do art. 22, da Lei n. 4.862, bem como os seus parágrafos, com acréscimo de outros dispositivos.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atual redação do art. 22, será modificada para constar que o desmembramento de glebas em lotes, somente será </w:t>
      </w:r>
      <w:proofErr w:type="gramStart"/>
      <w:r>
        <w:rPr>
          <w:rFonts w:ascii="Arial" w:hAnsi="Arial" w:cs="Arial"/>
          <w:sz w:val="24"/>
        </w:rPr>
        <w:t>aprovado</w:t>
      </w:r>
      <w:proofErr w:type="gramEnd"/>
      <w:r>
        <w:rPr>
          <w:rFonts w:ascii="Arial" w:hAnsi="Arial" w:cs="Arial"/>
          <w:sz w:val="24"/>
        </w:rPr>
        <w:t xml:space="preserve"> quando a via onde estiver situado o imóvel for dotada de toda a </w:t>
      </w:r>
      <w:proofErr w:type="spellStart"/>
      <w:r>
        <w:rPr>
          <w:rFonts w:ascii="Arial" w:hAnsi="Arial" w:cs="Arial"/>
          <w:sz w:val="24"/>
        </w:rPr>
        <w:t>infraestrutura</w:t>
      </w:r>
      <w:proofErr w:type="spellEnd"/>
      <w:r>
        <w:rPr>
          <w:rFonts w:ascii="Arial" w:hAnsi="Arial" w:cs="Arial"/>
          <w:sz w:val="24"/>
        </w:rPr>
        <w:t>. No § 1º passa a constar que quando a via não for dotada de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toda a </w:t>
      </w:r>
      <w:proofErr w:type="spellStart"/>
      <w:r>
        <w:rPr>
          <w:rFonts w:ascii="Arial" w:hAnsi="Arial" w:cs="Arial"/>
          <w:sz w:val="24"/>
        </w:rPr>
        <w:t>infraestrutura</w:t>
      </w:r>
      <w:proofErr w:type="spellEnd"/>
      <w:r>
        <w:rPr>
          <w:rFonts w:ascii="Arial" w:hAnsi="Arial" w:cs="Arial"/>
          <w:sz w:val="24"/>
        </w:rPr>
        <w:t xml:space="preserve"> caberá ao proprietário realizar os serviços, devendo caucionar lotes em garantia. 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Foram</w:t>
      </w:r>
      <w:proofErr w:type="gramEnd"/>
      <w:r>
        <w:rPr>
          <w:rFonts w:ascii="Arial" w:hAnsi="Arial" w:cs="Arial"/>
          <w:sz w:val="24"/>
        </w:rPr>
        <w:t xml:space="preserve"> excepcionados os caso de impossibilidade de dar em garantia lotes de terrenos. Cabe esclarecer aos ilustres membros dessa Casa que, são situações que acontecem quando o terreno é oriundo de </w:t>
      </w:r>
      <w:r>
        <w:rPr>
          <w:rFonts w:ascii="Arial" w:hAnsi="Arial" w:cs="Arial"/>
          <w:sz w:val="24"/>
        </w:rPr>
        <w:lastRenderedPageBreak/>
        <w:t xml:space="preserve">direito de herança, liquidação patrimonial de sociedade empresária ou extinção de condomínio. Nestes casos, não é possível caucionar o lote de um proprietário em detrimento dos demais, desta forma, ficou estabelecido que os projetos de edificação somente </w:t>
      </w:r>
      <w:proofErr w:type="gramStart"/>
      <w:r>
        <w:rPr>
          <w:rFonts w:ascii="Arial" w:hAnsi="Arial" w:cs="Arial"/>
          <w:sz w:val="24"/>
        </w:rPr>
        <w:t>serão</w:t>
      </w:r>
      <w:proofErr w:type="gramEnd"/>
      <w:r>
        <w:rPr>
          <w:rFonts w:ascii="Arial" w:hAnsi="Arial" w:cs="Arial"/>
          <w:sz w:val="24"/>
        </w:rPr>
        <w:t xml:space="preserve"> aprovados se realizadas as obras de </w:t>
      </w:r>
      <w:proofErr w:type="spellStart"/>
      <w:r>
        <w:rPr>
          <w:rFonts w:ascii="Arial" w:hAnsi="Arial" w:cs="Arial"/>
          <w:sz w:val="24"/>
        </w:rPr>
        <w:t>infraestrutura</w:t>
      </w:r>
      <w:proofErr w:type="spellEnd"/>
      <w:r>
        <w:rPr>
          <w:rFonts w:ascii="Arial" w:hAnsi="Arial" w:cs="Arial"/>
          <w:sz w:val="24"/>
        </w:rPr>
        <w:t>, o que deverá constar na matrícula.</w:t>
      </w: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8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redação do § 4º foi retirada apenas o limite de área, doravante qualquer desmembramento será submetida àquela condição. No § 5º ficou definido que quando o desmembramento destinar a fins residenciais, com área superior a 5000,00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>, deverá ser reservado um percentual de 15% (quinze por cento) da área desmembrada, destinado exclusivamente para equipamentos públicos urbanos e comunitários, bem como espaços livres de uso público. Quando a área desmembrada em lotes for inferior a 5000,00</w:t>
      </w:r>
      <w:proofErr w:type="spellStart"/>
      <w:r>
        <w:rPr>
          <w:rFonts w:ascii="Arial" w:hAnsi="Arial" w:cs="Arial"/>
          <w:sz w:val="24"/>
        </w:rPr>
        <w:t>m²</w:t>
      </w:r>
      <w:proofErr w:type="spellEnd"/>
      <w:r>
        <w:rPr>
          <w:rFonts w:ascii="Arial" w:hAnsi="Arial" w:cs="Arial"/>
          <w:sz w:val="24"/>
        </w:rPr>
        <w:t>, o percentual poderá ser em espécie, sendo que os recursos serão destinados para o Fundo Municipal de Habitação de Interesse Social, Fundo Municipal do Meio Ambiente ou Fundo Municipal de Urbanismo, atendido o interesse público.</w:t>
      </w: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10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o desmembramento for para fins de instalações comerciais o empreendedor poderá fazer a transferência em espécie, também, destinada ao o Fundo Municipal de Habitação de Interesse Social, Fundo Municipal do Meio Ambiente ou Fundo Municipal de Urbanismo. A destinação dos recursos está em consonância com o art. 26 e 31 da Lei Nacional n. 10.257/2001 (Estatuto da Cidade).</w:t>
      </w: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10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caso de desmembramento de gleba que, embora situado no perímetro urbano, está inscrita no INCRA o proprietário deverá observar o percentual previsto no § 4º, do Projeto de Lei. Trata-se de dispositivo que visa evitar que grandes glebas situadas no perímetro urbano e ainda cadastradas junto ao INCRA sejam desmembradas, sem a correspondente transferência de áreas ao Município, ao longo do tempo.</w:t>
      </w: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12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§ 10 foi inserido apenas para atualizar a Lei n. 4.862/2009, pois, os dispositivos já foram aprovados com a Lei Municipal n. 5.281/2013.</w:t>
      </w:r>
    </w:p>
    <w:p w:rsidR="00CE6D7B" w:rsidRPr="006278BE" w:rsidRDefault="00CE6D7B" w:rsidP="00CE6D7B">
      <w:pPr>
        <w:spacing w:after="0"/>
        <w:ind w:firstLine="3118"/>
        <w:jc w:val="both"/>
        <w:rPr>
          <w:rFonts w:ascii="Arial" w:hAnsi="Arial" w:cs="Arial"/>
          <w:sz w:val="8"/>
        </w:rPr>
      </w:pP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Estes os motivos da elaboração do presente Projeto de Lei que espero seja votado favoravelmente nesse Legislativo.</w:t>
      </w:r>
    </w:p>
    <w:p w:rsidR="00CE6D7B" w:rsidRDefault="00CE6D7B" w:rsidP="00CE6D7B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E6D7B" w:rsidRPr="006278BE" w:rsidRDefault="00CE6D7B" w:rsidP="00CE6D7B">
      <w:pPr>
        <w:spacing w:after="0"/>
        <w:jc w:val="center"/>
        <w:rPr>
          <w:rFonts w:ascii="Arial" w:hAnsi="Arial" w:cs="Arial"/>
          <w:sz w:val="8"/>
        </w:rPr>
      </w:pPr>
    </w:p>
    <w:p w:rsidR="00CE6D7B" w:rsidRPr="00A8021F" w:rsidRDefault="00CE6D7B" w:rsidP="00CE6D7B">
      <w:pPr>
        <w:spacing w:after="0"/>
        <w:jc w:val="center"/>
        <w:rPr>
          <w:rFonts w:ascii="Times New Roman" w:hAnsi="Times New Roman"/>
          <w:b/>
          <w:sz w:val="24"/>
        </w:rPr>
      </w:pPr>
      <w:r w:rsidRPr="00A8021F">
        <w:rPr>
          <w:rFonts w:ascii="Times New Roman" w:hAnsi="Times New Roman"/>
          <w:b/>
          <w:sz w:val="24"/>
        </w:rPr>
        <w:t xml:space="preserve">Agnaldo </w:t>
      </w:r>
      <w:proofErr w:type="spellStart"/>
      <w:r w:rsidRPr="00A8021F">
        <w:rPr>
          <w:rFonts w:ascii="Times New Roman" w:hAnsi="Times New Roman"/>
          <w:b/>
          <w:sz w:val="24"/>
        </w:rPr>
        <w:t>Perugini</w:t>
      </w:r>
      <w:proofErr w:type="spellEnd"/>
    </w:p>
    <w:p w:rsidR="00CE6D7B" w:rsidRPr="00A8021F" w:rsidRDefault="00CE6D7B" w:rsidP="00CE6D7B">
      <w:pPr>
        <w:spacing w:after="0"/>
        <w:jc w:val="center"/>
        <w:rPr>
          <w:rFonts w:ascii="Times New Roman" w:hAnsi="Times New Roman"/>
          <w:b/>
          <w:sz w:val="24"/>
        </w:rPr>
      </w:pPr>
      <w:r w:rsidRPr="00A8021F">
        <w:rPr>
          <w:rFonts w:ascii="Times New Roman" w:hAnsi="Times New Roman"/>
          <w:b/>
          <w:sz w:val="24"/>
        </w:rPr>
        <w:t>PREFEITO MUNICIPAL</w:t>
      </w:r>
    </w:p>
    <w:p w:rsidR="00CE6D7B" w:rsidRPr="006278BE" w:rsidRDefault="00CE6D7B" w:rsidP="00CE6D7B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:rsidR="00EB3049" w:rsidRDefault="00EB3049"/>
    <w:sectPr w:rsidR="00EB3049" w:rsidSect="008A3B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95A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95A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95AA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95A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95AA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F95AA4" w:rsidP="00D61824">
    <w:pPr>
      <w:pStyle w:val="Cabealho"/>
      <w:jc w:val="center"/>
      <w:rPr>
        <w:rFonts w:ascii="Times New Roman" w:hAnsi="Times New Roman"/>
      </w:rPr>
    </w:pPr>
    <w:proofErr w:type="gramStart"/>
    <w:r w:rsidRPr="00D61824">
      <w:rPr>
        <w:rFonts w:ascii="Times New Roman" w:hAnsi="Times New Roman"/>
      </w:rPr>
      <w:t>RU</w:t>
    </w:r>
    <w:r w:rsidRPr="00D61824">
      <w:rPr>
        <w:rFonts w:ascii="Times New Roman" w:hAnsi="Times New Roman"/>
      </w:rPr>
      <w:t>A CARIJÓS, 45 – CENTRO –</w:t>
    </w:r>
    <w:proofErr w:type="gramEnd"/>
    <w:r w:rsidRPr="00D61824">
      <w:rPr>
        <w:rFonts w:ascii="Times New Roman" w:hAnsi="Times New Roman"/>
      </w:rPr>
      <w:t xml:space="preserve"> CEP 37550-000</w:t>
    </w:r>
  </w:p>
  <w:p w:rsidR="00D61824" w:rsidRPr="00D61824" w:rsidRDefault="00F95AA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F95AA4" w:rsidP="00D61824">
    <w:pPr>
      <w:pStyle w:val="Cabealho"/>
      <w:jc w:val="center"/>
      <w:rPr>
        <w:rFonts w:ascii="Times New Roman" w:hAnsi="Times New Roman"/>
      </w:rPr>
    </w:pPr>
    <w:proofErr w:type="spellStart"/>
    <w:r w:rsidRPr="00D61824">
      <w:rPr>
        <w:rFonts w:ascii="Times New Roman" w:hAnsi="Times New Roman"/>
      </w:rPr>
      <w:t>E-mail</w:t>
    </w:r>
    <w:proofErr w:type="spellEnd"/>
    <w:r w:rsidRPr="00D61824">
      <w:rPr>
        <w:rFonts w:ascii="Times New Roman" w:hAnsi="Times New Roman"/>
      </w:rPr>
      <w:t>: chefeadj@pousoalegre.mg.gov.br</w:t>
    </w:r>
  </w:p>
  <w:p w:rsidR="00D61824" w:rsidRPr="00D61824" w:rsidRDefault="00F95AA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F95A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95A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E6D7B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6D7B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AA4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6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6D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E6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6D7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CE6D7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E6D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go2">
    <w:name w:val="artigo (2)"/>
    <w:basedOn w:val="Normal"/>
    <w:rsid w:val="00CE6D7B"/>
    <w:pPr>
      <w:tabs>
        <w:tab w:val="left" w:pos="-59"/>
        <w:tab w:val="num" w:pos="1080"/>
      </w:tabs>
      <w:suppressAutoHyphens/>
      <w:spacing w:before="360" w:after="0" w:line="240" w:lineRule="auto"/>
      <w:jc w:val="both"/>
    </w:pPr>
    <w:rPr>
      <w:rFonts w:ascii="Tahoma" w:eastAsia="Times New Roman" w:hAnsi="Tahoma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2013-12-04T19:41:00Z</dcterms:created>
  <dcterms:modified xsi:type="dcterms:W3CDTF">2013-12-04T19:41:00Z</dcterms:modified>
</cp:coreProperties>
</file>