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024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Reforma do Centro de Bem Estar Animal.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02.02 – SECRETARIA MUNICIPAL DE ADMINISTRAÇÃO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XXXX – REFORMA DO CENTRO DE BEM ESTAR ANIMAL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4490.51 – Obras e Instalações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R$ 300.000,00 (trezentos mil Reais).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02.08 – SECRETARIA MUNICIPAL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02.08.00.04.122.0017.2066 – MANUTENÇÃO DA SECRETARIA DA FAZENDA.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3.3.90.39.00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430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R$ 300.000,00 (trezentos mil Reais).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Essa alteração no Projeto da Lei Orçamentária Anual é necessária para garantir a destinação do recurso para a reforma do Centro de Bem Estar Animal.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Reforma esta, há tempos aguardada, necessária e indispensável para o bom funcionamento dos trabalhos ali realizados.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