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023566" w:rsidRDefault="008D03EA" w:rsidP="007143E4">
      <w:pPr>
        <w:jc w:val="center"/>
        <w:rPr>
          <w:b/>
          <w:color w:val="000000"/>
          <w:sz w:val="22"/>
          <w:szCs w:val="22"/>
        </w:rPr>
      </w:pPr>
      <w:r w:rsidRPr="00023566">
        <w:rPr>
          <w:b/>
          <w:color w:val="000000"/>
          <w:sz w:val="22"/>
          <w:szCs w:val="22"/>
        </w:rPr>
        <w:t xml:space="preserve">SUBSTITUTIVO </w:t>
      </w:r>
      <w:r w:rsidR="00023566" w:rsidRPr="00023566">
        <w:rPr>
          <w:b/>
          <w:color w:val="000000"/>
          <w:sz w:val="22"/>
          <w:szCs w:val="22"/>
        </w:rPr>
        <w:t xml:space="preserve">Nº 001 AO PROJETO DE LEI Nº </w:t>
      </w:r>
      <w:r>
        <w:rPr>
          <w:b/>
          <w:color w:val="000000"/>
          <w:sz w:val="22"/>
          <w:szCs w:val="22"/>
        </w:rPr>
        <w:t>7280</w:t>
      </w:r>
      <w:r w:rsidR="00C94212" w:rsidRPr="00023566">
        <w:rPr>
          <w:b/>
          <w:color w:val="000000"/>
          <w:sz w:val="22"/>
          <w:szCs w:val="22"/>
        </w:rPr>
        <w:t xml:space="preserve"> / </w:t>
      </w:r>
      <w:r>
        <w:rPr>
          <w:b/>
          <w:color w:val="000000"/>
          <w:sz w:val="22"/>
          <w:szCs w:val="22"/>
        </w:rPr>
        <w:t>2017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7143E4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CRIA O CERTIFICADO “EMPRESA SUSTENTÁVEL” E DÁ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7143E4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7143E4" w:rsidRDefault="007143E4" w:rsidP="007143E4">
      <w:pPr>
        <w:pStyle w:val="Normal0"/>
        <w:ind w:right="-1"/>
        <w:jc w:val="both"/>
        <w:rPr>
          <w:rFonts w:eastAsia="Times New Roman"/>
          <w:b/>
          <w:color w:val="000000"/>
          <w:sz w:val="20"/>
          <w:szCs w:val="24"/>
          <w:lang w:eastAsia="en-US"/>
        </w:rPr>
      </w:pPr>
    </w:p>
    <w:p w:rsidR="007143E4" w:rsidRDefault="00C94212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143E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Às concessionárias e lojas de venda de automóveis 0 km (zero quilômetro) fica facultado, para a mitigação do efeito estufa e do aquecimento global, o plantio de uma muda arbórea de fixação permanente no solo para cada veículo 0 km (zero quilômetro) vendido no âmbito do município de Pouso Alegre.</w:t>
      </w:r>
    </w:p>
    <w:p w:rsidR="007143E4" w:rsidRDefault="007143E4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143E4" w:rsidRDefault="00C94212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143E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As despesas com a execução desta Lei correrão por conta das empresas concessionárias e lojas de venda de automóveis.</w:t>
      </w:r>
    </w:p>
    <w:p w:rsidR="007143E4" w:rsidRDefault="007143E4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143E4" w:rsidRDefault="00C94212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143E4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As empresas que optarem pela implementação do disposto nesta Lei </w:t>
      </w:r>
      <w:proofErr w:type="gramStart"/>
      <w:r>
        <w:rPr>
          <w:rFonts w:ascii="Times New Roman" w:eastAsia="Times New Roman" w:hAnsi="Times New Roman"/>
          <w:color w:val="000000"/>
        </w:rPr>
        <w:t>receberam</w:t>
      </w:r>
      <w:proofErr w:type="gramEnd"/>
      <w:r>
        <w:rPr>
          <w:rFonts w:ascii="Times New Roman" w:eastAsia="Times New Roman" w:hAnsi="Times New Roman"/>
          <w:color w:val="000000"/>
        </w:rPr>
        <w:t xml:space="preserve"> anualmente, na </w:t>
      </w:r>
      <w:r w:rsidR="007143E4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emana do </w:t>
      </w:r>
      <w:r w:rsidR="007143E4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 xml:space="preserve">eio </w:t>
      </w:r>
      <w:r w:rsidR="007143E4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mbiente, o certificado de “Empresa Sustentável”, que poderá ser usado para fins de publicidade.</w:t>
      </w:r>
    </w:p>
    <w:p w:rsidR="007143E4" w:rsidRDefault="007143E4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143E4" w:rsidRDefault="00C94212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143E4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O certificado de “Empresa Sustentável”, emitido pela Câmara Municipal, conterá as seguintes informações:</w:t>
      </w:r>
    </w:p>
    <w:p w:rsidR="007143E4" w:rsidRDefault="007143E4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143E4" w:rsidRDefault="007143E4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n</w:t>
      </w:r>
      <w:r w:rsidR="00C94212">
        <w:rPr>
          <w:rFonts w:ascii="Times New Roman" w:eastAsia="Times New Roman" w:hAnsi="Times New Roman"/>
          <w:color w:val="000000"/>
        </w:rPr>
        <w:t>ome da empresa;</w:t>
      </w:r>
    </w:p>
    <w:p w:rsidR="007143E4" w:rsidRDefault="007143E4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143E4" w:rsidRDefault="00C94212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</w:t>
      </w:r>
      <w:r w:rsidR="007143E4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-</w:t>
      </w:r>
      <w:r w:rsidR="007143E4">
        <w:rPr>
          <w:rFonts w:ascii="Times New Roman" w:eastAsia="Times New Roman" w:hAnsi="Times New Roman"/>
          <w:color w:val="000000"/>
        </w:rPr>
        <w:t xml:space="preserve"> n</w:t>
      </w:r>
      <w:r>
        <w:rPr>
          <w:rFonts w:ascii="Times New Roman" w:eastAsia="Times New Roman" w:hAnsi="Times New Roman"/>
          <w:color w:val="000000"/>
        </w:rPr>
        <w:t>úmero de mudas plantadas no respectivo ano;</w:t>
      </w:r>
    </w:p>
    <w:p w:rsidR="007143E4" w:rsidRDefault="007143E4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- f</w:t>
      </w:r>
      <w:r w:rsidR="00C94212">
        <w:rPr>
          <w:rFonts w:ascii="Times New Roman" w:eastAsia="Times New Roman" w:hAnsi="Times New Roman"/>
          <w:color w:val="000000"/>
        </w:rPr>
        <w:t>rase “Quem compra nesta empresa, planta uma árvore”.</w:t>
      </w:r>
    </w:p>
    <w:p w:rsidR="007143E4" w:rsidRDefault="007143E4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143E4" w:rsidRDefault="00C94212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143E4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O Poder Executivo regulamentará esta Lei no prazo de 90 (noventa) dias, contados a partir da data de sua publicação.</w:t>
      </w:r>
    </w:p>
    <w:p w:rsidR="007143E4" w:rsidRDefault="007143E4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7143E4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143E4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Esta L</w:t>
      </w:r>
      <w:r w:rsidR="00C94212">
        <w:rPr>
          <w:rFonts w:ascii="Times New Roman" w:eastAsia="Times New Roman" w:hAnsi="Times New Roman"/>
          <w:color w:val="000000"/>
        </w:rPr>
        <w:t>ei entrará em vigor na data de sua publicação.</w:t>
      </w:r>
    </w:p>
    <w:p w:rsidR="00C94212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07FE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28 de Março de 2017.</w:t>
      </w:r>
    </w:p>
    <w:p w:rsidR="00C94212" w:rsidRPr="00C907FE" w:rsidRDefault="00C94212" w:rsidP="00C94212">
      <w:pPr>
        <w:spacing w:line="142" w:lineRule="auto"/>
        <w:rPr>
          <w:color w:val="000000"/>
        </w:rPr>
      </w:pPr>
    </w:p>
    <w:p w:rsidR="00C94212" w:rsidRPr="00C907FE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C907FE" w:rsidRDefault="00C94212" w:rsidP="00C94212">
      <w:pPr>
        <w:spacing w:line="283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141"/>
      </w:tblGrid>
      <w:tr w:rsidR="00C94212" w:rsidTr="007143E4">
        <w:trPr>
          <w:trHeight w:val="286"/>
        </w:trPr>
        <w:tc>
          <w:tcPr>
            <w:tcW w:w="1014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C94212" w:rsidTr="007143E4">
        <w:trPr>
          <w:trHeight w:val="343"/>
        </w:trPr>
        <w:tc>
          <w:tcPr>
            <w:tcW w:w="10141" w:type="dxa"/>
            <w:shd w:val="clear" w:color="auto" w:fill="auto"/>
          </w:tcPr>
          <w:p w:rsidR="00C94212" w:rsidRPr="00AD485A" w:rsidRDefault="00C94212" w:rsidP="00C907FE">
            <w:pPr>
              <w:jc w:val="center"/>
              <w:rPr>
                <w:color w:val="000000"/>
              </w:rPr>
            </w:pPr>
            <w:r w:rsidRPr="00C907FE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7143E4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site do Ministério do Meio Ambiente da Presidência da República do Brasil1 encontramos a seguinte assertiva:</w:t>
      </w:r>
    </w:p>
    <w:p w:rsidR="007143E4" w:rsidRDefault="00C94212" w:rsidP="00C907F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br/>
        <w:t xml:space="preserve"> Efeito Estufa e Aquecimento Global</w:t>
      </w:r>
    </w:p>
    <w:p w:rsidR="007143E4" w:rsidRDefault="007143E4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efeito estufa é um fenômeno natural e possibilita a vida humana na Terra.</w:t>
      </w: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Parte da energia solar que chega ao planeta é refletida diretamente de volta ao espaço, ao atingir o topo da atmosfera terrestre - e parte é absorvida pelos oceanos e pela superfície da Terra, promovendo o seu aquecimento. Uma parcela desse calor é irradiada de volta ao espaço, mas é bloqueada pela presença de gases de efeito estufa que, apesar de deixarem passar a energia vinda do Sol (emitida em comprimentos de onda menores), são opacos à radiação terrestre, emitida em maiores comprimentos de onda. Essa diferença nos comprimentos de onda se deve às diferenças nas temperaturas do Sol e da superfície terrestre.</w:t>
      </w: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De fato, é a presença desses gases na atmosfera o que torna a Terra habitável, pois, caso não existissem naturalmente, a temperatura média do planeta seria muito baixa, da ordem de 18ºC negativos. A troca de energia entre a superfície e a atmosfera mantém as atuais condições, que proporcionam uma temperatura média global, próxima à superfície, de 14ºC.</w:t>
      </w: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Quando existe um balanço entre a energia solar incidente e a energia refletida na forma de calor pela superfície terrestre, o clima se mantém praticamente inalterado. Entretanto, o balanço de energia pode ser alterado de várias formas: (1) pela mudança na quantidade de energia que chega à superfície terrestre; (2) pela mudança na órbita da Terra ou do próprio Sol; (3) pela mudança na quantidade de energia que chega à superfície terrestre e é refletida de volta ao espaço, devido à presença de nuvens ou de partículas na atmosfera (também chamadas de aerossóis, que resultam de queimadas, por exemplo); e, finalmente, (4) graças à alteração na quantidade de energia de maiores comprimentos de onda refletida de volta ao espaço, devido a mudanças na concentração de gases de efeito estufa na atmosfera.</w:t>
      </w: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Essas mudanças na concentração de gases de efeito estufa na atmosfera estão ocorrendo em função do aumento insustentável das emissões </w:t>
      </w:r>
      <w:proofErr w:type="spellStart"/>
      <w:r>
        <w:rPr>
          <w:rFonts w:ascii="Times New Roman" w:hAnsi="Times New Roman" w:cs="Times New Roman"/>
        </w:rPr>
        <w:t>antrópicas</w:t>
      </w:r>
      <w:proofErr w:type="spellEnd"/>
      <w:r>
        <w:rPr>
          <w:rFonts w:ascii="Times New Roman" w:hAnsi="Times New Roman" w:cs="Times New Roman"/>
        </w:rPr>
        <w:t xml:space="preserve"> desses gases.</w:t>
      </w: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As emissões de gases de efeito estufa ocorrem praticamente em todas as atividades humanas e setores da economia: na agricultura, por meio da preparação da terra para plantio e aplicação de fertilizantes; na pecuária, por meio do tratamento de dejetos animais e pela fermentação entérica do gado; no transporte, pelo uso de combustíveis fósseis, como gasolina e gás natural; no tratamento dos resíduos sólidos, pela forma como o lixo é tratado e disposto; nas florestas, pelo desmatamento e degradação de florestas; e nas indústrias, pelos processos de produção, como cimento, alumínio, ferro e aço, por exemplo.</w:t>
      </w: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Gases de efeito estufa</w:t>
      </w: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Há quatro principais gases de efeito estufa (GEE), além de duas famílias de gases, regulados pelo </w:t>
      </w:r>
      <w:r>
        <w:rPr>
          <w:rFonts w:ascii="Times New Roman" w:hAnsi="Times New Roman" w:cs="Times New Roman"/>
        </w:rPr>
        <w:lastRenderedPageBreak/>
        <w:t xml:space="preserve">Protocolo de </w:t>
      </w:r>
      <w:proofErr w:type="spellStart"/>
      <w:r>
        <w:rPr>
          <w:rFonts w:ascii="Times New Roman" w:hAnsi="Times New Roman" w:cs="Times New Roman"/>
        </w:rPr>
        <w:t>Quioto</w:t>
      </w:r>
      <w:proofErr w:type="spellEnd"/>
      <w:r>
        <w:rPr>
          <w:rFonts w:ascii="Times New Roman" w:hAnsi="Times New Roman" w:cs="Times New Roman"/>
        </w:rPr>
        <w:t>:</w:t>
      </w: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- O dióxido de carbono (CO2) é o mais abundante dos GEE, sendo emitido como resultado de inúmeras atividades humanas como, por exemplo, por meio do uso de combustíveis fósseis (petróleo, carvão e gás natural) e também com a mudança no uso da terra. A quantidade de dióxido de carbono na atmosfera aumentou 35% desde a era industrial, e este aumento deve-se a atividades humanas, principalmente pela queima de combustíveis fósseis e remoção de florestas. O CO2 é utilizado como referência para classificar o poder de aquecimento global dos demais gases de efeito estufa;</w:t>
      </w: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- O gás metano (CH4) é produzido pela decomposição da matéria orgânica, sendo encontrado geralmente em aterros sanitários, lixões e reservatórios de hidrelétricas (em maior ou menor grau, dependendo do uso da terra anterior à construção do reservatório) e também pela criação de gado e cultivo de arroz. Com poder de aquecimento global 21 vezes maior que o dióxido de carbono;</w:t>
      </w: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- O óxido nitroso (N2O) cujas emissões resultam, entre outros, do tratamento de dejetos animais, do uso de fertilizantes, da queima de combustíveis fósseis e de alguns processos industriais, possui um poder de aquecimento global 310 vezes maior que o CO2;</w:t>
      </w: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- O hexafluoreto de enxofre (SF6) é utilizado principalmente como isolante térmico e condutor de calor; gás com o maior poder de aquecimento</w:t>
      </w:r>
      <w:proofErr w:type="gramStart"/>
      <w:r>
        <w:rPr>
          <w:rFonts w:ascii="Times New Roman" w:hAnsi="Times New Roman" w:cs="Times New Roman"/>
        </w:rPr>
        <w:t>, é</w:t>
      </w:r>
      <w:proofErr w:type="gramEnd"/>
      <w:r>
        <w:rPr>
          <w:rFonts w:ascii="Times New Roman" w:hAnsi="Times New Roman" w:cs="Times New Roman"/>
        </w:rPr>
        <w:t xml:space="preserve"> 23.900 vezes mais ativo no efeito estufa do que o CO2;</w:t>
      </w: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- O </w:t>
      </w:r>
      <w:proofErr w:type="spellStart"/>
      <w:r>
        <w:rPr>
          <w:rFonts w:ascii="Times New Roman" w:hAnsi="Times New Roman" w:cs="Times New Roman"/>
        </w:rPr>
        <w:t>hidrofluorcarbonos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HFCs</w:t>
      </w:r>
      <w:proofErr w:type="spellEnd"/>
      <w:r>
        <w:rPr>
          <w:rFonts w:ascii="Times New Roman" w:hAnsi="Times New Roman" w:cs="Times New Roman"/>
        </w:rPr>
        <w:t xml:space="preserve">), utilizados como substitutos dos </w:t>
      </w:r>
      <w:proofErr w:type="spellStart"/>
      <w:r>
        <w:rPr>
          <w:rFonts w:ascii="Times New Roman" w:hAnsi="Times New Roman" w:cs="Times New Roman"/>
        </w:rPr>
        <w:t>clorofluorcarbonos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CFCs</w:t>
      </w:r>
      <w:proofErr w:type="spellEnd"/>
      <w:r>
        <w:rPr>
          <w:rFonts w:ascii="Times New Roman" w:hAnsi="Times New Roman" w:cs="Times New Roman"/>
        </w:rPr>
        <w:t>) em aerossóis e refrigeradores; não agridem a camada de ozônio, mas têm, em geral, alto potencial de aquecimento global (variando entre 140 e 11.700);</w:t>
      </w: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- Os </w:t>
      </w:r>
      <w:proofErr w:type="spellStart"/>
      <w:r>
        <w:rPr>
          <w:rFonts w:ascii="Times New Roman" w:hAnsi="Times New Roman" w:cs="Times New Roman"/>
        </w:rPr>
        <w:t>perfluorcarbonos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PFCs</w:t>
      </w:r>
      <w:proofErr w:type="spellEnd"/>
      <w:r>
        <w:rPr>
          <w:rFonts w:ascii="Times New Roman" w:hAnsi="Times New Roman" w:cs="Times New Roman"/>
        </w:rPr>
        <w:t>) são utilizados como gases refrigerantes, solventes, propulsores, espuma e aerossóis e têm potencial de aquecimento global variando de 6.500 a 9.200.</w:t>
      </w: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Os </w:t>
      </w:r>
      <w:proofErr w:type="spellStart"/>
      <w:r>
        <w:rPr>
          <w:rFonts w:ascii="Times New Roman" w:hAnsi="Times New Roman" w:cs="Times New Roman"/>
        </w:rPr>
        <w:t>hidrofluorcarbonos</w:t>
      </w:r>
      <w:proofErr w:type="spellEnd"/>
      <w:r>
        <w:rPr>
          <w:rFonts w:ascii="Times New Roman" w:hAnsi="Times New Roman" w:cs="Times New Roman"/>
        </w:rPr>
        <w:t xml:space="preserve"> e os </w:t>
      </w:r>
      <w:proofErr w:type="spellStart"/>
      <w:r>
        <w:rPr>
          <w:rFonts w:ascii="Times New Roman" w:hAnsi="Times New Roman" w:cs="Times New Roman"/>
        </w:rPr>
        <w:t>perfluorcarbonos</w:t>
      </w:r>
      <w:proofErr w:type="spellEnd"/>
      <w:r>
        <w:rPr>
          <w:rFonts w:ascii="Times New Roman" w:hAnsi="Times New Roman" w:cs="Times New Roman"/>
        </w:rPr>
        <w:t xml:space="preserve"> pertencem à família dos </w:t>
      </w:r>
      <w:proofErr w:type="spellStart"/>
      <w:r>
        <w:rPr>
          <w:rFonts w:ascii="Times New Roman" w:hAnsi="Times New Roman" w:cs="Times New Roman"/>
        </w:rPr>
        <w:t>halocarbonos</w:t>
      </w:r>
      <w:proofErr w:type="spellEnd"/>
      <w:r>
        <w:rPr>
          <w:rFonts w:ascii="Times New Roman" w:hAnsi="Times New Roman" w:cs="Times New Roman"/>
        </w:rPr>
        <w:t xml:space="preserve">, todos eles produzidos, principalmente, por atividades </w:t>
      </w:r>
      <w:proofErr w:type="spellStart"/>
      <w:r>
        <w:rPr>
          <w:rFonts w:ascii="Times New Roman" w:hAnsi="Times New Roman" w:cs="Times New Roman"/>
        </w:rPr>
        <w:t>antrópicas</w:t>
      </w:r>
      <w:proofErr w:type="spellEnd"/>
      <w:r>
        <w:rPr>
          <w:rFonts w:ascii="Times New Roman" w:hAnsi="Times New Roman" w:cs="Times New Roman"/>
        </w:rPr>
        <w:t>.</w:t>
      </w: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br/>
        <w:t>Aquecimento global</w:t>
      </w: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br/>
        <w:t>Embora o clima tenha apresentado mudanças ao longo da história da Terra, em todas as escalas de tempo, percebe-se que a mudança atual apresenta alguns aspectos distintos. Por exemplo, a concentração de dióxido de carbono na atmosfera observada em 2005 excedeu, e muito, a variação natural dos últimos 650 mil anos, atingindo o valor recorde de 379 partes por milhão em volume (</w:t>
      </w:r>
      <w:proofErr w:type="spellStart"/>
      <w:r>
        <w:rPr>
          <w:rFonts w:ascii="Times New Roman" w:hAnsi="Times New Roman" w:cs="Times New Roman"/>
        </w:rPr>
        <w:t>ppmv</w:t>
      </w:r>
      <w:proofErr w:type="spellEnd"/>
      <w:r>
        <w:rPr>
          <w:rFonts w:ascii="Times New Roman" w:hAnsi="Times New Roman" w:cs="Times New Roman"/>
        </w:rPr>
        <w:t xml:space="preserve">) - isto é, um aumento de quase 100 </w:t>
      </w:r>
      <w:proofErr w:type="spellStart"/>
      <w:r>
        <w:rPr>
          <w:rFonts w:ascii="Times New Roman" w:hAnsi="Times New Roman" w:cs="Times New Roman"/>
        </w:rPr>
        <w:t>ppmv</w:t>
      </w:r>
      <w:proofErr w:type="spellEnd"/>
      <w:r>
        <w:rPr>
          <w:rFonts w:ascii="Times New Roman" w:hAnsi="Times New Roman" w:cs="Times New Roman"/>
        </w:rPr>
        <w:t xml:space="preserve"> desde a era pré-industrial.</w:t>
      </w: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Outro aspecto distinto da mudança atual do clima é a sua origem: ao passo que as mudanças do clima no passado decorreram de fenômenos naturais, a maior parte da atual mudança do clima, particularmente nos últimos 50 anos, é atribuída às atividades humanas.</w:t>
      </w: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 principal evidência dessa mudança atual do clima é o aquecimento global, que foi detectado no aumento da temperatura média global do ar e dos oceanos, no derretimento generalizado da neve e do gelo, e na elevação do nível do mar, não podendo mais ser negada.</w:t>
      </w: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  <w:t xml:space="preserve">Atualmente, as temperaturas médias globais de superfície são as maiores dos últimos cinco séculos, pelo menos. A temperatura média global de superfície aumentou </w:t>
      </w:r>
      <w:proofErr w:type="gramStart"/>
      <w:r>
        <w:rPr>
          <w:rFonts w:ascii="Times New Roman" w:hAnsi="Times New Roman" w:cs="Times New Roman"/>
        </w:rPr>
        <w:t>cerca de 0,74</w:t>
      </w:r>
      <w:proofErr w:type="gramEnd"/>
      <w:r>
        <w:rPr>
          <w:rFonts w:ascii="Times New Roman" w:hAnsi="Times New Roman" w:cs="Times New Roman"/>
        </w:rPr>
        <w:t>ºC, nos últimos cem anos. Caso não se atue neste aquecimento de forma significativa, espera-se observar, ainda neste século, um clima bastante incomum, podendo apresentar, por exemplo, um acréscimo médio da temperatura global de 2ºC a 5,8°C, segundo o 4° Relatório do Painel Intergovernamental sobre Mudanças Climáticas (IPCC), de 2007.</w:t>
      </w: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Em resumo, a primeira parte do 4º relatório do IPCC, que compila os estudos sobre base científica da mudança do clima, considera o aquecimento global um fenômeno inequívoco e, muito provavelmente, causado pelas atividades </w:t>
      </w:r>
      <w:proofErr w:type="spellStart"/>
      <w:r>
        <w:rPr>
          <w:rFonts w:ascii="Times New Roman" w:hAnsi="Times New Roman" w:cs="Times New Roman"/>
        </w:rPr>
        <w:t>antrópicas</w:t>
      </w:r>
      <w:proofErr w:type="spellEnd"/>
      <w:r>
        <w:rPr>
          <w:rFonts w:ascii="Times New Roman" w:hAnsi="Times New Roman" w:cs="Times New Roman"/>
        </w:rPr>
        <w:t xml:space="preserve">. A comunidade científica tem tido um papel importante para subsidiar os países em sua tomada de decisão, fornecendo projeções da mudança do clima </w:t>
      </w:r>
      <w:proofErr w:type="gramStart"/>
      <w:r>
        <w:rPr>
          <w:rFonts w:ascii="Times New Roman" w:hAnsi="Times New Roman" w:cs="Times New Roman"/>
        </w:rPr>
        <w:t>sob diferentes</w:t>
      </w:r>
      <w:proofErr w:type="gramEnd"/>
      <w:r>
        <w:rPr>
          <w:rFonts w:ascii="Times New Roman" w:hAnsi="Times New Roman" w:cs="Times New Roman"/>
        </w:rPr>
        <w:t xml:space="preserve"> cenários futuros, dentro de margens de erro aceitáveis, indicando desafios e apontando oportunidades.</w:t>
      </w:r>
    </w:p>
    <w:p w:rsidR="007143E4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br/>
        <w:t>Com efeito, o projeto em estampa vem ao encontro das necessidades de se combater os efeitos de gases poluentes e que contribuem para o aquecimento global e o efeito estufa prejudicando, sobremaneira, a vida no planeta.</w:t>
      </w:r>
    </w:p>
    <w:p w:rsidR="00C94212" w:rsidRDefault="00C94212" w:rsidP="007143E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br/>
        <w:t>De outro lado, ainda prevê a arborização da cidade que, por si só, cria um ambiente mais agradável e melhor de se viver.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07FE" w:rsidRDefault="00C907FE" w:rsidP="007143E4">
      <w:pPr>
        <w:jc w:val="center"/>
        <w:rPr>
          <w:color w:val="000000"/>
        </w:rPr>
      </w:pPr>
      <w:r>
        <w:rPr>
          <w:color w:val="000000"/>
        </w:rPr>
        <w:t>Sala das Sessões, em 28 de Março de 2017.</w:t>
      </w:r>
    </w:p>
    <w:p w:rsidR="00C907FE" w:rsidRPr="00C907FE" w:rsidRDefault="00C907FE" w:rsidP="00C907FE">
      <w:pPr>
        <w:spacing w:line="142" w:lineRule="auto"/>
        <w:rPr>
          <w:color w:val="000000"/>
        </w:rPr>
      </w:pPr>
    </w:p>
    <w:p w:rsidR="00C907FE" w:rsidRPr="00C907FE" w:rsidRDefault="00C907FE" w:rsidP="00C907FE">
      <w:pPr>
        <w:spacing w:line="283" w:lineRule="auto"/>
        <w:ind w:left="2835"/>
        <w:rPr>
          <w:color w:val="000000"/>
        </w:rPr>
      </w:pPr>
    </w:p>
    <w:p w:rsidR="00C907FE" w:rsidRPr="00C907FE" w:rsidRDefault="00C907FE" w:rsidP="00C907FE">
      <w:pPr>
        <w:spacing w:line="283" w:lineRule="auto"/>
        <w:ind w:left="2835"/>
        <w:rPr>
          <w:color w:val="000000"/>
        </w:rPr>
      </w:pPr>
    </w:p>
    <w:tbl>
      <w:tblPr>
        <w:tblW w:w="103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73"/>
      </w:tblGrid>
      <w:tr w:rsidR="00C907FE" w:rsidTr="007143E4">
        <w:trPr>
          <w:trHeight w:val="268"/>
        </w:trPr>
        <w:tc>
          <w:tcPr>
            <w:tcW w:w="10373" w:type="dxa"/>
            <w:shd w:val="clear" w:color="auto" w:fill="auto"/>
          </w:tcPr>
          <w:p w:rsidR="00C907FE" w:rsidRPr="00AD485A" w:rsidRDefault="00C907FE" w:rsidP="006A2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C907FE" w:rsidTr="007143E4">
        <w:trPr>
          <w:trHeight w:val="320"/>
        </w:trPr>
        <w:tc>
          <w:tcPr>
            <w:tcW w:w="10373" w:type="dxa"/>
            <w:shd w:val="clear" w:color="auto" w:fill="auto"/>
          </w:tcPr>
          <w:p w:rsidR="00C907FE" w:rsidRPr="00AD485A" w:rsidRDefault="00C907FE" w:rsidP="006A28BF">
            <w:pPr>
              <w:jc w:val="center"/>
              <w:rPr>
                <w:color w:val="000000"/>
              </w:rPr>
            </w:pPr>
            <w:r w:rsidRPr="00C907FE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07FE" w:rsidRDefault="00C907FE" w:rsidP="00C907F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143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3D9" w:rsidRDefault="002233D9" w:rsidP="00FE475D">
      <w:r>
        <w:separator/>
      </w:r>
    </w:p>
  </w:endnote>
  <w:endnote w:type="continuationSeparator" w:id="0">
    <w:p w:rsidR="002233D9" w:rsidRDefault="002233D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90C1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233D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33D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233D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33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3D9" w:rsidRDefault="002233D9" w:rsidP="00FE475D">
      <w:r>
        <w:separator/>
      </w:r>
    </w:p>
  </w:footnote>
  <w:footnote w:type="continuationSeparator" w:id="0">
    <w:p w:rsidR="002233D9" w:rsidRDefault="002233D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33D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90C1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90C1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233D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233D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33D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3566"/>
    <w:rsid w:val="00217FD1"/>
    <w:rsid w:val="002233D9"/>
    <w:rsid w:val="003776C3"/>
    <w:rsid w:val="0045355C"/>
    <w:rsid w:val="006C3FC6"/>
    <w:rsid w:val="007076AC"/>
    <w:rsid w:val="007143E4"/>
    <w:rsid w:val="00872F94"/>
    <w:rsid w:val="008822DB"/>
    <w:rsid w:val="00890C13"/>
    <w:rsid w:val="008D03EA"/>
    <w:rsid w:val="009C2BB0"/>
    <w:rsid w:val="00A95A21"/>
    <w:rsid w:val="00AF09C1"/>
    <w:rsid w:val="00C907FE"/>
    <w:rsid w:val="00C94212"/>
    <w:rsid w:val="00D50958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1367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2017-03-27T16:28:00Z</dcterms:created>
  <dcterms:modified xsi:type="dcterms:W3CDTF">2017-03-27T16:28:00Z</dcterms:modified>
</cp:coreProperties>
</file>