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E722F0" w:rsidRDefault="00CF2E74" w:rsidP="00A056D0">
      <w:pPr>
        <w:ind w:left="2835"/>
        <w:jc w:val="both"/>
        <w:rPr>
          <w:b/>
          <w:color w:val="000000"/>
          <w:sz w:val="22"/>
          <w:szCs w:val="22"/>
        </w:rPr>
      </w:pPr>
      <w:r w:rsidRPr="00E722F0">
        <w:rPr>
          <w:b/>
          <w:color w:val="000000"/>
          <w:sz w:val="22"/>
          <w:szCs w:val="22"/>
        </w:rPr>
        <w:t>PROPOSTA DE EMENDA Nº 001 AO SUBSTITUTIVO Nº 001 AO PROJETO DE LEI Nº 7128/2015</w:t>
      </w:r>
    </w:p>
    <w:p w:rsidR="00C94212" w:rsidRPr="00E722F0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E722F0" w:rsidRDefault="00CF2E74" w:rsidP="00CF2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  <w:r w:rsidRPr="00E722F0">
        <w:rPr>
          <w:b/>
          <w:sz w:val="22"/>
          <w:szCs w:val="22"/>
        </w:rPr>
        <w:t>ALTERA A EMENTA, O ART. 1º E O PARAGRAFO ÚNICO DO ART. 2º DO SUBSTITUTIVO Nº 001 AO PROJETO DE LEI Nº 7128/2015, QUE DISPÕE SOBRE A OBRIGATORIEDADE DAS INSTITUIÇÕES BANCÁRIAS INSTALAREM TAPUMES, BIOMBOS OU ESTRUTURAS SIMILARES EM SUAS AGÊNCIAS E POSTOS DE ATENDIMENTO.</w:t>
      </w:r>
    </w:p>
    <w:p w:rsidR="00CF2E74" w:rsidRDefault="00CF2E74" w:rsidP="00CF2E74">
      <w:pPr>
        <w:ind w:firstLine="2835"/>
        <w:jc w:val="both"/>
        <w:rPr>
          <w:sz w:val="23"/>
          <w:szCs w:val="23"/>
        </w:rPr>
      </w:pPr>
    </w:p>
    <w:p w:rsidR="00E722F0" w:rsidRPr="00E722F0" w:rsidRDefault="00E722F0" w:rsidP="00CF2E74">
      <w:pPr>
        <w:ind w:firstLine="2835"/>
        <w:jc w:val="both"/>
        <w:rPr>
          <w:sz w:val="23"/>
          <w:szCs w:val="23"/>
        </w:rPr>
      </w:pPr>
    </w:p>
    <w:p w:rsidR="00A056D0" w:rsidRPr="00E722F0" w:rsidRDefault="0063594B" w:rsidP="00CF2E74">
      <w:pPr>
        <w:ind w:firstLine="2835"/>
        <w:jc w:val="both"/>
        <w:rPr>
          <w:sz w:val="23"/>
          <w:szCs w:val="23"/>
        </w:rPr>
      </w:pPr>
      <w:r w:rsidRPr="00E722F0">
        <w:rPr>
          <w:sz w:val="23"/>
          <w:szCs w:val="23"/>
        </w:rPr>
        <w:t>O Vereador signatário desta, no uso de suas atribuições</w:t>
      </w:r>
      <w:r w:rsidR="00BB59D8" w:rsidRPr="00E722F0">
        <w:rPr>
          <w:sz w:val="23"/>
          <w:szCs w:val="23"/>
        </w:rPr>
        <w:t xml:space="preserve"> legais, e nos termos dos artigos 269 e seguintes do Regimento Interno da Câmara Municipal</w:t>
      </w:r>
      <w:r w:rsidR="00C94212" w:rsidRPr="00E722F0">
        <w:rPr>
          <w:sz w:val="23"/>
          <w:szCs w:val="23"/>
        </w:rPr>
        <w:t xml:space="preserve"> de Pouso Alegre, Estado de Minas Gerais, </w:t>
      </w:r>
      <w:r w:rsidR="00BB59D8" w:rsidRPr="00E722F0">
        <w:rPr>
          <w:sz w:val="23"/>
          <w:szCs w:val="23"/>
        </w:rPr>
        <w:t xml:space="preserve">apresenta a seguinte Proposta de </w:t>
      </w:r>
      <w:r w:rsidR="00CF2E74" w:rsidRPr="00E722F0">
        <w:rPr>
          <w:sz w:val="23"/>
          <w:szCs w:val="23"/>
        </w:rPr>
        <w:t xml:space="preserve">Emenda </w:t>
      </w:r>
      <w:r w:rsidR="008A6142">
        <w:rPr>
          <w:sz w:val="23"/>
          <w:szCs w:val="23"/>
        </w:rPr>
        <w:t xml:space="preserve">nº 001 </w:t>
      </w:r>
      <w:r w:rsidR="00CF2E74" w:rsidRPr="00E722F0">
        <w:rPr>
          <w:sz w:val="23"/>
          <w:szCs w:val="23"/>
        </w:rPr>
        <w:t>ao Substitutivo nº 001 ao Projeto de Lei 7128/2015</w:t>
      </w:r>
      <w:r w:rsidR="00A056D0" w:rsidRPr="00E722F0">
        <w:rPr>
          <w:sz w:val="23"/>
          <w:szCs w:val="23"/>
        </w:rPr>
        <w:t>:</w:t>
      </w:r>
    </w:p>
    <w:p w:rsidR="00C94212" w:rsidRPr="00E722F0" w:rsidRDefault="00C94212" w:rsidP="00CF2E74">
      <w:pPr>
        <w:spacing w:line="283" w:lineRule="auto"/>
        <w:ind w:left="567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722F0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E722F0">
        <w:rPr>
          <w:rFonts w:ascii="Times New Roman" w:eastAsia="Times New Roman" w:hAnsi="Times New Roman"/>
          <w:color w:val="000000"/>
          <w:sz w:val="23"/>
          <w:szCs w:val="23"/>
        </w:rPr>
        <w:t xml:space="preserve"> A ementa do Substitutivo nº 001 ao Projeto de Lei nº 7128/2015 passa a ter a seguinte redação:</w:t>
      </w: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722F0">
        <w:rPr>
          <w:rFonts w:ascii="Times New Roman" w:eastAsia="Times New Roman" w:hAnsi="Times New Roman"/>
          <w:color w:val="000000"/>
          <w:sz w:val="23"/>
          <w:szCs w:val="23"/>
        </w:rPr>
        <w:t>"DISPÕE SOBRE A OBRIGATORIEDADE DAS INSTITUIÇÕES BANCÁRIAS E CASAS LOTÉRICAS INSTALAREM TAPUMES, BIOMBOS OU ESTRUTURAS SIMILARES EM SUAS AGÊNCIAS E POSTOS DE ATENDIMENTO."</w:t>
      </w: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722F0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E722F0">
        <w:rPr>
          <w:rFonts w:ascii="Times New Roman" w:eastAsia="Times New Roman" w:hAnsi="Times New Roman"/>
          <w:color w:val="000000"/>
          <w:sz w:val="23"/>
          <w:szCs w:val="23"/>
        </w:rPr>
        <w:t xml:space="preserve"> Ficam alterados o art. 1º e o parágrafo único do art. 2º do Substitutivo Nº 001 ao Projeto Lei nº 7128/2015, que passam a vigorar com as seguintes redações:</w:t>
      </w: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722F0">
        <w:rPr>
          <w:rFonts w:ascii="Times New Roman" w:eastAsia="Times New Roman" w:hAnsi="Times New Roman"/>
          <w:color w:val="000000"/>
          <w:sz w:val="23"/>
          <w:szCs w:val="23"/>
        </w:rPr>
        <w:t xml:space="preserve">"Art. 1º Ficam as instituições bancárias e casas lotéricas obrigadas a instalar tapumes, biombos ou estruturas similares em suas agências e postos de atendimento, de forma a impedir a visualização, pelos demais clientes, das operações financeiras realizadas." </w:t>
      </w: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722F0">
        <w:rPr>
          <w:rFonts w:ascii="Times New Roman" w:eastAsia="Times New Roman" w:hAnsi="Times New Roman"/>
          <w:color w:val="000000"/>
          <w:sz w:val="23"/>
          <w:szCs w:val="23"/>
        </w:rPr>
        <w:t>"Art 2º (...)</w:t>
      </w: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722F0">
        <w:rPr>
          <w:rFonts w:ascii="Times New Roman" w:eastAsia="Times New Roman" w:hAnsi="Times New Roman"/>
          <w:color w:val="000000"/>
          <w:sz w:val="23"/>
          <w:szCs w:val="23"/>
        </w:rPr>
        <w:t xml:space="preserve">Parágrafo único. A agência bancária e casa lotérica que for declarada reincidente, nos termos do art. 2º, III, sofrerão as penalidades cabíveis, a critério do Poder Executivo, nos termos do parágrafo único do art. 4º desta Lei." </w:t>
      </w:r>
    </w:p>
    <w:p w:rsidR="00CF2E74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E722F0" w:rsidRDefault="00CF2E74" w:rsidP="00CF2E7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722F0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E722F0">
        <w:rPr>
          <w:rFonts w:ascii="Times New Roman" w:eastAsia="Times New Roman" w:hAnsi="Times New Roman"/>
          <w:color w:val="000000"/>
          <w:sz w:val="23"/>
          <w:szCs w:val="23"/>
        </w:rPr>
        <w:t xml:space="preserve"> Revogadas as disposições em contrário, esta </w:t>
      </w:r>
      <w:r w:rsidR="00E32F96">
        <w:rPr>
          <w:rFonts w:ascii="Times New Roman" w:eastAsia="Times New Roman" w:hAnsi="Times New Roman"/>
          <w:color w:val="000000"/>
          <w:sz w:val="23"/>
          <w:szCs w:val="23"/>
        </w:rPr>
        <w:t>E</w:t>
      </w:r>
      <w:r w:rsidRPr="00E722F0">
        <w:rPr>
          <w:rFonts w:ascii="Times New Roman" w:eastAsia="Times New Roman" w:hAnsi="Times New Roman"/>
          <w:color w:val="000000"/>
          <w:sz w:val="23"/>
          <w:szCs w:val="23"/>
        </w:rPr>
        <w:t xml:space="preserve">menda entra em vigor na data de sua </w:t>
      </w:r>
      <w:r w:rsidR="00FA754C">
        <w:rPr>
          <w:rFonts w:ascii="Times New Roman" w:eastAsia="Times New Roman" w:hAnsi="Times New Roman"/>
          <w:color w:val="000000"/>
          <w:sz w:val="23"/>
          <w:szCs w:val="23"/>
        </w:rPr>
        <w:t>aprova</w:t>
      </w:r>
      <w:r w:rsidRPr="00E722F0">
        <w:rPr>
          <w:rFonts w:ascii="Times New Roman" w:eastAsia="Times New Roman" w:hAnsi="Times New Roman"/>
          <w:color w:val="000000"/>
          <w:sz w:val="23"/>
          <w:szCs w:val="23"/>
        </w:rPr>
        <w:t>ção.</w:t>
      </w:r>
    </w:p>
    <w:p w:rsidR="00CF2E74" w:rsidRPr="00E722F0" w:rsidRDefault="00CF2E74" w:rsidP="00CF2E74">
      <w:pPr>
        <w:spacing w:line="283" w:lineRule="auto"/>
        <w:ind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C94212" w:rsidRPr="00E722F0" w:rsidRDefault="00C94212" w:rsidP="00CF2E74">
      <w:pPr>
        <w:ind w:firstLine="2835"/>
        <w:rPr>
          <w:color w:val="000000"/>
          <w:sz w:val="23"/>
          <w:szCs w:val="23"/>
        </w:rPr>
      </w:pPr>
      <w:r w:rsidRPr="00E722F0">
        <w:rPr>
          <w:color w:val="000000"/>
          <w:sz w:val="23"/>
          <w:szCs w:val="23"/>
        </w:rPr>
        <w:t>Sala das Sessões,</w:t>
      </w:r>
      <w:r w:rsidR="00CF2E74" w:rsidRPr="00E722F0">
        <w:rPr>
          <w:color w:val="000000"/>
          <w:sz w:val="23"/>
          <w:szCs w:val="23"/>
        </w:rPr>
        <w:t xml:space="preserve"> em</w:t>
      </w:r>
      <w:r w:rsidRPr="00E722F0">
        <w:rPr>
          <w:color w:val="000000"/>
          <w:sz w:val="23"/>
          <w:szCs w:val="23"/>
        </w:rPr>
        <w:t xml:space="preserve"> </w:t>
      </w:r>
      <w:r w:rsidR="00CF2E74" w:rsidRPr="00E722F0">
        <w:rPr>
          <w:color w:val="000000"/>
          <w:sz w:val="23"/>
          <w:szCs w:val="23"/>
        </w:rPr>
        <w:t>2 de Junho de 2015</w:t>
      </w:r>
      <w:r w:rsidRPr="00E722F0">
        <w:rPr>
          <w:color w:val="000000"/>
          <w:sz w:val="23"/>
          <w:szCs w:val="23"/>
        </w:rPr>
        <w:t>.</w:t>
      </w:r>
    </w:p>
    <w:p w:rsidR="00C94212" w:rsidRPr="00E722F0" w:rsidRDefault="00C94212" w:rsidP="00CF2E74">
      <w:pPr>
        <w:spacing w:line="142" w:lineRule="auto"/>
        <w:rPr>
          <w:rFonts w:ascii="Arial" w:hAnsi="Arial" w:cs="Arial"/>
          <w:color w:val="000000"/>
          <w:sz w:val="23"/>
          <w:szCs w:val="23"/>
        </w:rPr>
      </w:pPr>
    </w:p>
    <w:p w:rsidR="00C94212" w:rsidRPr="00E722F0" w:rsidRDefault="00C94212" w:rsidP="00CF2E74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RPr="00E722F0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E722F0" w:rsidRDefault="00CF2E74" w:rsidP="00E722F0">
            <w:pPr>
              <w:jc w:val="center"/>
              <w:rPr>
                <w:color w:val="000000"/>
              </w:rPr>
            </w:pPr>
            <w:r w:rsidRPr="00E722F0">
              <w:rPr>
                <w:color w:val="000000"/>
                <w:sz w:val="22"/>
                <w:szCs w:val="22"/>
              </w:rPr>
              <w:t>A</w:t>
            </w:r>
            <w:r w:rsidR="00E722F0" w:rsidRPr="00E722F0">
              <w:rPr>
                <w:color w:val="000000"/>
                <w:sz w:val="22"/>
                <w:szCs w:val="22"/>
              </w:rPr>
              <w:t xml:space="preserve">driano da </w:t>
            </w:r>
            <w:r w:rsidRPr="00E722F0">
              <w:rPr>
                <w:color w:val="000000"/>
                <w:sz w:val="22"/>
                <w:szCs w:val="22"/>
              </w:rPr>
              <w:t>F</w:t>
            </w:r>
            <w:r w:rsidR="00E722F0" w:rsidRPr="00E722F0">
              <w:rPr>
                <w:color w:val="000000"/>
                <w:sz w:val="22"/>
                <w:szCs w:val="22"/>
              </w:rPr>
              <w:t>armácia</w:t>
            </w:r>
          </w:p>
        </w:tc>
      </w:tr>
      <w:tr w:rsidR="00C94212" w:rsidRPr="00E722F0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E722F0" w:rsidRDefault="00C94212" w:rsidP="00E722F0">
            <w:pPr>
              <w:jc w:val="center"/>
              <w:rPr>
                <w:color w:val="000000"/>
              </w:rPr>
            </w:pPr>
            <w:r w:rsidRPr="00E722F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94212" w:rsidRPr="0098598F" w:rsidRDefault="00C94212" w:rsidP="00CF2E74">
      <w:pPr>
        <w:jc w:val="center"/>
        <w:rPr>
          <w:b/>
          <w:sz w:val="22"/>
          <w:szCs w:val="22"/>
        </w:rPr>
      </w:pPr>
      <w:r w:rsidRPr="0098598F">
        <w:rPr>
          <w:b/>
          <w:sz w:val="22"/>
          <w:szCs w:val="22"/>
        </w:rPr>
        <w:lastRenderedPageBreak/>
        <w:t>JUSTIFICATIVA</w:t>
      </w:r>
    </w:p>
    <w:p w:rsidR="00C94212" w:rsidRPr="0098598F" w:rsidRDefault="00C94212" w:rsidP="00CF2E74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98598F" w:rsidRDefault="00C94212" w:rsidP="00CF2E74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98598F" w:rsidRDefault="00CF2E74" w:rsidP="00CF2E74">
      <w:pPr>
        <w:ind w:firstLine="2835"/>
        <w:jc w:val="both"/>
        <w:rPr>
          <w:rFonts w:eastAsia="Arial"/>
          <w:sz w:val="22"/>
          <w:szCs w:val="22"/>
          <w:lang w:eastAsia="pt-BR"/>
        </w:rPr>
      </w:pPr>
      <w:r w:rsidRPr="0098598F">
        <w:rPr>
          <w:rFonts w:eastAsia="Arial"/>
          <w:sz w:val="22"/>
          <w:szCs w:val="22"/>
          <w:lang w:eastAsia="pt-BR"/>
        </w:rPr>
        <w:t xml:space="preserve">O objetivo desta </w:t>
      </w:r>
      <w:r w:rsidR="004300FB">
        <w:rPr>
          <w:rFonts w:eastAsia="Arial"/>
          <w:sz w:val="22"/>
          <w:szCs w:val="22"/>
          <w:lang w:eastAsia="pt-BR"/>
        </w:rPr>
        <w:t>E</w:t>
      </w:r>
      <w:r w:rsidRPr="0098598F">
        <w:rPr>
          <w:rFonts w:eastAsia="Arial"/>
          <w:sz w:val="22"/>
          <w:szCs w:val="22"/>
          <w:lang w:eastAsia="pt-BR"/>
        </w:rPr>
        <w:t xml:space="preserve">menda é o de estender a obrigatoriedade às casas lotéricas, onde os clientes ficam totalmente expostos ao realizarem suas operações financeiras. A inclusa </w:t>
      </w:r>
      <w:r w:rsidR="004300FB">
        <w:rPr>
          <w:rFonts w:eastAsia="Arial"/>
          <w:sz w:val="22"/>
          <w:szCs w:val="22"/>
          <w:lang w:eastAsia="pt-BR"/>
        </w:rPr>
        <w:t>E</w:t>
      </w:r>
      <w:r w:rsidRPr="0098598F">
        <w:rPr>
          <w:rFonts w:eastAsia="Arial"/>
          <w:sz w:val="22"/>
          <w:szCs w:val="22"/>
          <w:lang w:eastAsia="pt-BR"/>
        </w:rPr>
        <w:t>menda justifica-se, ainda, por proporcionar segurança nas casas lotéricas, preservando a vida dos clientes e funcionários.</w:t>
      </w:r>
    </w:p>
    <w:p w:rsidR="0066319D" w:rsidRPr="0098598F" w:rsidRDefault="0066319D" w:rsidP="00CF2E74">
      <w:pPr>
        <w:ind w:left="2835"/>
        <w:rPr>
          <w:color w:val="000000"/>
          <w:sz w:val="22"/>
          <w:szCs w:val="22"/>
        </w:rPr>
      </w:pPr>
    </w:p>
    <w:p w:rsidR="00CF2E74" w:rsidRPr="0098598F" w:rsidRDefault="00CF2E74" w:rsidP="00CF2E74">
      <w:pPr>
        <w:ind w:left="2835"/>
        <w:rPr>
          <w:color w:val="000000"/>
          <w:sz w:val="22"/>
          <w:szCs w:val="22"/>
        </w:rPr>
      </w:pPr>
    </w:p>
    <w:p w:rsidR="00C94212" w:rsidRPr="0098598F" w:rsidRDefault="00C94212" w:rsidP="00CF2E74">
      <w:pPr>
        <w:ind w:left="2835"/>
        <w:rPr>
          <w:color w:val="000000"/>
          <w:sz w:val="22"/>
          <w:szCs w:val="22"/>
        </w:rPr>
      </w:pPr>
      <w:r w:rsidRPr="0098598F">
        <w:rPr>
          <w:color w:val="000000"/>
          <w:sz w:val="22"/>
          <w:szCs w:val="22"/>
        </w:rPr>
        <w:t xml:space="preserve">Sala das Sessões, em </w:t>
      </w:r>
      <w:r w:rsidR="00CF2E74" w:rsidRPr="0098598F">
        <w:rPr>
          <w:color w:val="000000"/>
          <w:sz w:val="22"/>
          <w:szCs w:val="22"/>
        </w:rPr>
        <w:t>2 de Junho de 2015</w:t>
      </w:r>
      <w:r w:rsidRPr="0098598F">
        <w:rPr>
          <w:color w:val="000000"/>
          <w:sz w:val="22"/>
          <w:szCs w:val="22"/>
        </w:rPr>
        <w:t>.</w:t>
      </w:r>
    </w:p>
    <w:p w:rsidR="00C94212" w:rsidRPr="0098598F" w:rsidRDefault="00C94212" w:rsidP="00CF2E74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98598F" w:rsidRDefault="00C94212" w:rsidP="00CF2E74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98598F" w:rsidRDefault="00C94212" w:rsidP="00CF2E74">
      <w:pPr>
        <w:spacing w:line="283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RPr="0098598F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98598F" w:rsidRDefault="00CF2E74" w:rsidP="00E722F0">
            <w:pPr>
              <w:jc w:val="center"/>
              <w:rPr>
                <w:color w:val="000000"/>
              </w:rPr>
            </w:pPr>
            <w:r w:rsidRPr="0098598F">
              <w:rPr>
                <w:color w:val="000000"/>
                <w:sz w:val="22"/>
                <w:szCs w:val="22"/>
              </w:rPr>
              <w:t>A</w:t>
            </w:r>
            <w:r w:rsidR="00E722F0" w:rsidRPr="0098598F">
              <w:rPr>
                <w:color w:val="000000"/>
                <w:sz w:val="22"/>
                <w:szCs w:val="22"/>
              </w:rPr>
              <w:t>driano da Farmácia</w:t>
            </w:r>
          </w:p>
        </w:tc>
      </w:tr>
      <w:tr w:rsidR="00C94212" w:rsidRPr="0098598F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98598F" w:rsidRDefault="00C94212" w:rsidP="00CF2E74">
            <w:pPr>
              <w:jc w:val="center"/>
              <w:rPr>
                <w:color w:val="000000"/>
              </w:rPr>
            </w:pPr>
            <w:r w:rsidRPr="0098598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98598F" w:rsidRDefault="00C94212" w:rsidP="00CF2E74">
            <w:pPr>
              <w:jc w:val="center"/>
              <w:rPr>
                <w:color w:val="000000"/>
              </w:rPr>
            </w:pPr>
          </w:p>
          <w:p w:rsidR="00C94212" w:rsidRPr="0098598F" w:rsidRDefault="00C94212" w:rsidP="00CF2E74">
            <w:pPr>
              <w:jc w:val="center"/>
              <w:rPr>
                <w:color w:val="000000"/>
              </w:rPr>
            </w:pPr>
          </w:p>
        </w:tc>
      </w:tr>
    </w:tbl>
    <w:p w:rsidR="00C94212" w:rsidRPr="00C865D7" w:rsidRDefault="00C94212" w:rsidP="00CF2E74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F2E74"/>
    <w:p w:rsidR="00217FD1" w:rsidRDefault="00217FD1" w:rsidP="00CF2E74"/>
    <w:p w:rsidR="00CF2E74" w:rsidRDefault="00CF2E74"/>
    <w:sectPr w:rsidR="00CF2E74" w:rsidSect="00CF2E74">
      <w:headerReference w:type="default" r:id="rId6"/>
      <w:footerReference w:type="even" r:id="rId7"/>
      <w:footerReference w:type="default" r:id="rId8"/>
      <w:pgSz w:w="11906" w:h="16838"/>
      <w:pgMar w:top="2552" w:right="1700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5D" w:rsidRDefault="00794B5D" w:rsidP="00FE475D">
      <w:r>
        <w:separator/>
      </w:r>
    </w:p>
  </w:endnote>
  <w:endnote w:type="continuationSeparator" w:id="1">
    <w:p w:rsidR="00794B5D" w:rsidRDefault="00794B5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E7A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94B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4B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94B5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5D" w:rsidRDefault="00794B5D" w:rsidP="00FE475D">
      <w:r>
        <w:separator/>
      </w:r>
    </w:p>
  </w:footnote>
  <w:footnote w:type="continuationSeparator" w:id="1">
    <w:p w:rsidR="00794B5D" w:rsidRDefault="00794B5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E7A0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E7A0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794B5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94B5D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F697E"/>
    <w:rsid w:val="00217FD1"/>
    <w:rsid w:val="002B3748"/>
    <w:rsid w:val="00321BD2"/>
    <w:rsid w:val="0036114F"/>
    <w:rsid w:val="0040752C"/>
    <w:rsid w:val="0041447C"/>
    <w:rsid w:val="004300FB"/>
    <w:rsid w:val="005005AC"/>
    <w:rsid w:val="005A0511"/>
    <w:rsid w:val="00627564"/>
    <w:rsid w:val="0063594B"/>
    <w:rsid w:val="00643F47"/>
    <w:rsid w:val="0066319D"/>
    <w:rsid w:val="006702CB"/>
    <w:rsid w:val="006C0C85"/>
    <w:rsid w:val="006C3FC6"/>
    <w:rsid w:val="007076AC"/>
    <w:rsid w:val="00794B5D"/>
    <w:rsid w:val="007A4E89"/>
    <w:rsid w:val="007D6573"/>
    <w:rsid w:val="007E7A01"/>
    <w:rsid w:val="008A078F"/>
    <w:rsid w:val="008A6142"/>
    <w:rsid w:val="0098598F"/>
    <w:rsid w:val="009A6946"/>
    <w:rsid w:val="00A056D0"/>
    <w:rsid w:val="00A879EC"/>
    <w:rsid w:val="00AB6CA1"/>
    <w:rsid w:val="00BB59D8"/>
    <w:rsid w:val="00C43689"/>
    <w:rsid w:val="00C94212"/>
    <w:rsid w:val="00CF2E74"/>
    <w:rsid w:val="00DE5182"/>
    <w:rsid w:val="00E32F96"/>
    <w:rsid w:val="00E722F0"/>
    <w:rsid w:val="00E85620"/>
    <w:rsid w:val="00FA754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9</cp:revision>
  <dcterms:created xsi:type="dcterms:W3CDTF">2015-06-01T17:22:00Z</dcterms:created>
  <dcterms:modified xsi:type="dcterms:W3CDTF">2015-06-01T19:41:00Z</dcterms:modified>
</cp:coreProperties>
</file>