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4E" w:rsidRDefault="0064374E" w:rsidP="0064374E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817/16</w:t>
      </w:r>
    </w:p>
    <w:p w:rsidR="0064374E" w:rsidRDefault="0064374E" w:rsidP="0064374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4374E" w:rsidRPr="00BE7FB8" w:rsidRDefault="0064374E" w:rsidP="0064374E">
      <w:pPr>
        <w:spacing w:line="360" w:lineRule="auto"/>
        <w:ind w:left="3118"/>
        <w:jc w:val="both"/>
        <w:rPr>
          <w:b/>
          <w:szCs w:val="20"/>
        </w:rPr>
      </w:pPr>
      <w:r w:rsidRPr="00BE7FB8">
        <w:rPr>
          <w:b/>
          <w:szCs w:val="20"/>
        </w:rPr>
        <w:t>DISPÕE SOBRE A CONTRIBUIÇÃO PREVIDENCIÁRIA PARA O CUSTEIO DO IPREM - INSTITUTO DE PREVIDÊNCIA MUNICIPAL DE POUSO ALEGRE E DÁ OUTRAS PROVIDÊNCIAS.</w:t>
      </w:r>
    </w:p>
    <w:p w:rsidR="00A438B1" w:rsidRDefault="00A438B1" w:rsidP="0064374E">
      <w:pPr>
        <w:jc w:val="center"/>
        <w:rPr>
          <w:b/>
          <w:bCs/>
          <w:sz w:val="2"/>
        </w:rPr>
      </w:pPr>
    </w:p>
    <w:p w:rsidR="00A438B1" w:rsidRPr="00A438B1" w:rsidRDefault="00A438B1" w:rsidP="0064374E">
      <w:pPr>
        <w:jc w:val="center"/>
        <w:rPr>
          <w:b/>
          <w:bCs/>
          <w:sz w:val="2"/>
        </w:rPr>
      </w:pPr>
    </w:p>
    <w:p w:rsidR="0064374E" w:rsidRDefault="0064374E" w:rsidP="0064374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64374E" w:rsidRDefault="0064374E" w:rsidP="0064374E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A438B1" w:rsidRPr="00A438B1" w:rsidRDefault="00A438B1" w:rsidP="0064374E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64374E" w:rsidRPr="00A438B1" w:rsidRDefault="0064374E" w:rsidP="0064374E">
      <w:pPr>
        <w:spacing w:line="360" w:lineRule="auto"/>
        <w:ind w:firstLine="3118"/>
        <w:jc w:val="both"/>
        <w:rPr>
          <w:szCs w:val="20"/>
        </w:rPr>
      </w:pPr>
      <w:r w:rsidRPr="00A438B1">
        <w:rPr>
          <w:szCs w:val="20"/>
        </w:rPr>
        <w:t>A Câmara Municipal de Pouso Alegre, Estado de Minas Gerais, aprova e o Chefe do Poder Executivo sanciona e promulga a seguinte Lei:</w:t>
      </w:r>
    </w:p>
    <w:p w:rsidR="0064374E" w:rsidRPr="00A438B1" w:rsidRDefault="0064374E" w:rsidP="0064374E">
      <w:pPr>
        <w:ind w:firstLine="3118"/>
        <w:jc w:val="both"/>
        <w:rPr>
          <w:szCs w:val="20"/>
        </w:rPr>
      </w:pPr>
      <w:r w:rsidRPr="00A438B1">
        <w:rPr>
          <w:b/>
          <w:szCs w:val="20"/>
        </w:rPr>
        <w:t xml:space="preserve">Art. 1º. </w:t>
      </w:r>
      <w:r w:rsidRPr="00A438B1">
        <w:rPr>
          <w:szCs w:val="20"/>
        </w:rPr>
        <w:t>A contribuição mensal compulsória dos servidores ativos e os em gozo de beneficio de prestação não continuada, sobre a respectiva remuneração, observada as exclusões constantes do art.56 da Lei 4643/07 e alterações posteriores mantém-se em 11% (onze por cento); inclusive sobre o abono anual.</w:t>
      </w:r>
    </w:p>
    <w:p w:rsidR="0064374E" w:rsidRPr="00A438B1" w:rsidRDefault="0064374E" w:rsidP="0064374E">
      <w:pPr>
        <w:pStyle w:val="NormalWeb"/>
        <w:ind w:firstLine="3118"/>
        <w:jc w:val="both"/>
        <w:rPr>
          <w:sz w:val="22"/>
          <w:szCs w:val="20"/>
        </w:rPr>
      </w:pPr>
      <w:r w:rsidRPr="00A438B1">
        <w:rPr>
          <w:b/>
          <w:color w:val="000000"/>
          <w:sz w:val="22"/>
          <w:szCs w:val="20"/>
        </w:rPr>
        <w:t xml:space="preserve">Art. 2º. </w:t>
      </w:r>
      <w:r w:rsidRPr="00A438B1">
        <w:rPr>
          <w:sz w:val="22"/>
          <w:szCs w:val="20"/>
        </w:rPr>
        <w:t xml:space="preserve">Conforme alíquotas </w:t>
      </w:r>
      <w:r w:rsidRPr="00A438B1">
        <w:rPr>
          <w:color w:val="000000"/>
          <w:sz w:val="22"/>
          <w:szCs w:val="20"/>
        </w:rPr>
        <w:t xml:space="preserve">fixadas na reavaliação atuarial de 2016, o Município, suas Autarquias e Fundações Públicas e a Câmara Municipal contribuirão para o custeio do regime próprio de previdência de seus servidores, </w:t>
      </w:r>
      <w:r w:rsidRPr="00A438B1">
        <w:rPr>
          <w:sz w:val="22"/>
          <w:szCs w:val="20"/>
        </w:rPr>
        <w:t xml:space="preserve">intitulada Contribuição Patronal – custo normal </w:t>
      </w:r>
      <w:r w:rsidRPr="00A438B1">
        <w:rPr>
          <w:color w:val="000000"/>
          <w:sz w:val="22"/>
          <w:szCs w:val="20"/>
        </w:rPr>
        <w:t xml:space="preserve">no percentual de </w:t>
      </w:r>
      <w:r w:rsidRPr="00A438B1">
        <w:rPr>
          <w:sz w:val="22"/>
          <w:szCs w:val="20"/>
        </w:rPr>
        <w:t>13,12% (treze inteiros e doze centésimos por cento).</w:t>
      </w:r>
    </w:p>
    <w:p w:rsidR="0064374E" w:rsidRPr="00A438B1" w:rsidRDefault="0064374E" w:rsidP="0064374E">
      <w:pPr>
        <w:pStyle w:val="NormalWeb"/>
        <w:ind w:firstLine="3118"/>
        <w:jc w:val="both"/>
        <w:rPr>
          <w:sz w:val="22"/>
          <w:szCs w:val="20"/>
        </w:rPr>
      </w:pPr>
      <w:r w:rsidRPr="00A438B1">
        <w:rPr>
          <w:b/>
          <w:sz w:val="22"/>
          <w:szCs w:val="20"/>
        </w:rPr>
        <w:t>Art. 3º.</w:t>
      </w:r>
      <w:r w:rsidRPr="00A438B1">
        <w:rPr>
          <w:sz w:val="22"/>
          <w:szCs w:val="20"/>
        </w:rPr>
        <w:t xml:space="preserve"> P</w:t>
      </w:r>
      <w:r w:rsidRPr="00A438B1">
        <w:rPr>
          <w:color w:val="000000"/>
          <w:sz w:val="22"/>
          <w:szCs w:val="20"/>
        </w:rPr>
        <w:t>ara financiamento do déficit técnico atuarial, apurado na Avaliação Atuarial referente ao ano de 2015, sobre o total da folha de pagamento dos servidores ativos, observada as exclusões contidas no art. 56 da Lei 4643/07 e alterações posteriores,</w:t>
      </w:r>
      <w:r w:rsidRPr="00A438B1">
        <w:rPr>
          <w:sz w:val="22"/>
          <w:szCs w:val="20"/>
        </w:rPr>
        <w:t xml:space="preserve"> correspondente ao custo suplementar de 28,02% (vinte e oito por cento, dois centésimos), o Município, através dos órgãos dos Poderes Legislativo e Executivo, inclusive de suas autarquias e fundações, adotarão plano de financiamento estruturado sob a forma de aplicação de alíquotas progressivas.</w:t>
      </w:r>
    </w:p>
    <w:p w:rsidR="0064374E" w:rsidRPr="00A438B1" w:rsidRDefault="0064374E" w:rsidP="0064374E">
      <w:pPr>
        <w:tabs>
          <w:tab w:val="left" w:pos="426"/>
        </w:tabs>
        <w:ind w:firstLine="3118"/>
        <w:jc w:val="both"/>
        <w:rPr>
          <w:szCs w:val="20"/>
        </w:rPr>
      </w:pPr>
      <w:r w:rsidRPr="00A438B1">
        <w:rPr>
          <w:b/>
          <w:szCs w:val="20"/>
        </w:rPr>
        <w:t>§ 1º.</w:t>
      </w:r>
      <w:r w:rsidRPr="00A438B1">
        <w:rPr>
          <w:b/>
          <w:szCs w:val="20"/>
        </w:rPr>
        <w:tab/>
      </w:r>
      <w:r w:rsidRPr="00A438B1">
        <w:rPr>
          <w:szCs w:val="20"/>
        </w:rPr>
        <w:t>As amortizações correspondentes ao plano de financiamento referido no parágrafo anterior, terão início, por meio da adoção da alíquota de 18,41% (dezoito inteiros e quarenta e um centésimos por cento), sobre a folha de remuneração de contribuição dos servidores ativos, no primeiro ano, e evoluirão anualmente, à razão de 0,99% (noventa e nove centésimos por cento), permanecendo até 2031, quando o déficit estará plenamente equacionado, tudo em conformidade com o disposto na avaliação atuarial referente ao ano base de 2016, conforme tabela abaixo:</w:t>
      </w:r>
    </w:p>
    <w:p w:rsidR="0064374E" w:rsidRDefault="0064374E" w:rsidP="0064374E">
      <w:pPr>
        <w:spacing w:line="360" w:lineRule="auto"/>
        <w:ind w:right="283" w:firstLine="3118"/>
        <w:jc w:val="both"/>
        <w:rPr>
          <w:sz w:val="24"/>
          <w:szCs w:val="24"/>
        </w:rPr>
      </w:pPr>
    </w:p>
    <w:p w:rsidR="0064374E" w:rsidRDefault="0064374E" w:rsidP="0064374E">
      <w:pPr>
        <w:spacing w:line="360" w:lineRule="auto"/>
        <w:ind w:right="283" w:firstLine="3118"/>
        <w:jc w:val="both"/>
        <w:rPr>
          <w:sz w:val="24"/>
          <w:szCs w:val="24"/>
        </w:rPr>
      </w:pPr>
    </w:p>
    <w:p w:rsidR="0064374E" w:rsidRDefault="0064374E" w:rsidP="0064374E">
      <w:pPr>
        <w:pStyle w:val="Quadro"/>
        <w:tabs>
          <w:tab w:val="left" w:pos="708"/>
        </w:tabs>
        <w:spacing w:after="120" w:line="240" w:lineRule="auto"/>
        <w:ind w:left="0" w:firstLine="3118"/>
        <w:jc w:val="both"/>
        <w:rPr>
          <w:rFonts w:ascii="Times New Roman" w:hAnsi="Times New Roman"/>
          <w:color w:val="auto"/>
          <w:szCs w:val="14"/>
        </w:rPr>
      </w:pPr>
      <w:r>
        <w:rPr>
          <w:rFonts w:ascii="Times New Roman" w:hAnsi="Times New Roman"/>
          <w:color w:val="auto"/>
          <w:szCs w:val="14"/>
        </w:rPr>
        <w:t>Financiamento Exponencial do Custo Suplementar</w:t>
      </w:r>
    </w:p>
    <w:tbl>
      <w:tblPr>
        <w:tblW w:w="8641" w:type="dxa"/>
        <w:jc w:val="center"/>
        <w:tblCellMar>
          <w:left w:w="70" w:type="dxa"/>
          <w:right w:w="70" w:type="dxa"/>
        </w:tblCellMar>
        <w:tblLook w:val="04A0"/>
      </w:tblPr>
      <w:tblGrid>
        <w:gridCol w:w="936"/>
        <w:gridCol w:w="1993"/>
        <w:gridCol w:w="1980"/>
        <w:gridCol w:w="1981"/>
        <w:gridCol w:w="1751"/>
      </w:tblGrid>
      <w:tr w:rsidR="0064374E" w:rsidTr="00255FAB">
        <w:trPr>
          <w:trHeight w:val="270"/>
          <w:tblHeader/>
          <w:jc w:val="center"/>
        </w:trPr>
        <w:tc>
          <w:tcPr>
            <w:tcW w:w="9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64374E" w:rsidRDefault="0064374E" w:rsidP="0064374E">
            <w:pPr>
              <w:jc w:val="both"/>
              <w:rPr>
                <w:rFonts w:ascii="Times New Roman" w:eastAsia="MS Mincho" w:hAnsi="Times New Roman"/>
                <w:b/>
                <w:bCs/>
                <w:caps/>
                <w:color w:val="FFFFFF"/>
                <w:sz w:val="14"/>
                <w:szCs w:val="14"/>
                <w:lang w:eastAsia="ja-JP"/>
              </w:rPr>
            </w:pPr>
            <w:r>
              <w:rPr>
                <w:b/>
                <w:bCs/>
                <w:caps/>
                <w:color w:val="FFFFFF"/>
                <w:sz w:val="14"/>
                <w:szCs w:val="14"/>
              </w:rPr>
              <w:t>Ano</w:t>
            </w:r>
          </w:p>
        </w:tc>
        <w:tc>
          <w:tcPr>
            <w:tcW w:w="1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64374E" w:rsidRDefault="0064374E" w:rsidP="0064374E">
            <w:pPr>
              <w:jc w:val="both"/>
              <w:rPr>
                <w:rFonts w:ascii="Times New Roman" w:eastAsia="MS Mincho" w:hAnsi="Times New Roman"/>
                <w:b/>
                <w:bCs/>
                <w:caps/>
                <w:color w:val="FFFFFF"/>
                <w:sz w:val="14"/>
                <w:szCs w:val="14"/>
                <w:lang w:eastAsia="ja-JP"/>
              </w:rPr>
            </w:pPr>
            <w:r>
              <w:rPr>
                <w:b/>
                <w:bCs/>
                <w:caps/>
                <w:color w:val="FFFFFF"/>
                <w:sz w:val="14"/>
                <w:szCs w:val="14"/>
              </w:rPr>
              <w:t>Saldo Devedor INICIAL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64374E" w:rsidRDefault="0064374E" w:rsidP="0064374E">
            <w:pPr>
              <w:jc w:val="both"/>
              <w:rPr>
                <w:rFonts w:ascii="Times New Roman" w:eastAsia="MS Mincho" w:hAnsi="Times New Roman"/>
                <w:b/>
                <w:bCs/>
                <w:caps/>
                <w:color w:val="FFFFFF"/>
                <w:sz w:val="14"/>
                <w:szCs w:val="14"/>
                <w:lang w:eastAsia="ja-JP"/>
              </w:rPr>
            </w:pPr>
            <w:r>
              <w:rPr>
                <w:b/>
                <w:bCs/>
                <w:caps/>
                <w:color w:val="FFFFFF"/>
                <w:sz w:val="14"/>
                <w:szCs w:val="14"/>
              </w:rPr>
              <w:t>Prestação</w:t>
            </w: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64374E" w:rsidRDefault="0064374E" w:rsidP="0064374E">
            <w:pPr>
              <w:jc w:val="both"/>
              <w:rPr>
                <w:rFonts w:ascii="Times New Roman" w:eastAsia="MS Mincho" w:hAnsi="Times New Roman"/>
                <w:b/>
                <w:bCs/>
                <w:caps/>
                <w:color w:val="FFFFFF"/>
                <w:sz w:val="14"/>
                <w:szCs w:val="14"/>
                <w:lang w:eastAsia="ja-JP"/>
              </w:rPr>
            </w:pPr>
            <w:r>
              <w:rPr>
                <w:b/>
                <w:bCs/>
                <w:caps/>
                <w:color w:val="FFFFFF"/>
                <w:sz w:val="14"/>
                <w:szCs w:val="14"/>
              </w:rPr>
              <w:t>Saldo Devedor</w:t>
            </w:r>
          </w:p>
        </w:tc>
        <w:tc>
          <w:tcPr>
            <w:tcW w:w="1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noWrap/>
            <w:vAlign w:val="center"/>
            <w:hideMark/>
          </w:tcPr>
          <w:p w:rsidR="0064374E" w:rsidRDefault="0064374E" w:rsidP="0064374E">
            <w:pPr>
              <w:jc w:val="both"/>
              <w:rPr>
                <w:rFonts w:ascii="Times New Roman" w:eastAsia="MS Mincho" w:hAnsi="Times New Roman"/>
                <w:b/>
                <w:bCs/>
                <w:caps/>
                <w:color w:val="FFFFFF"/>
                <w:sz w:val="14"/>
                <w:szCs w:val="14"/>
                <w:lang w:eastAsia="ja-JP"/>
              </w:rPr>
            </w:pPr>
            <w:r>
              <w:rPr>
                <w:b/>
                <w:bCs/>
                <w:caps/>
                <w:color w:val="FFFFFF"/>
                <w:sz w:val="14"/>
                <w:szCs w:val="14"/>
              </w:rPr>
              <w:t>Percentual DA FOLHA SALARIAL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228.107.303,03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14.831.730,04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226.072.107,37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18,41%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226.072.107,37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15.782.691,41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222.906.780,92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19,40%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222.906.780,92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16.751.188,83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218.524.927,61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20,38%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218.524.927,61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17.737.477,94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212.834.696,66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21,37%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212.834.696,66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18.741.817,70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205.738.451,69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22,36%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205.738.451,69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19.764.470,51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197.132.420,05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23,34%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197.132.420,05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20.805.702,20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186.906.320,92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24,33%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186.906.320,92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21.865.782,08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174.942.971,17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25,31%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174.942.971,17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22.944.982,98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161.117.867,49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26,30%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161.117.867,49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24.043.581,32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145.298.743,33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27,29%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145.298.743,33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25.161.857,13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127.345.099,38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28,27%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127.345.099,38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26.300.094,10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107.107.705,59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29,26%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107.107.705,59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27.458.579,62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84.428.073,53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30,25%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84.428.073,53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28.637.604,84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59.137.896,81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31,23%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2030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59.137.896,81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29.837.464,71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31.058.458,02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32,22%</w:t>
            </w:r>
          </w:p>
        </w:tc>
      </w:tr>
      <w:tr w:rsidR="0064374E" w:rsidTr="00255FAB">
        <w:trPr>
          <w:trHeight w:val="255"/>
          <w:jc w:val="center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2031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31.058.458,02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31.058.458,02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4374E" w:rsidRDefault="0064374E" w:rsidP="00A438B1">
            <w:pPr>
              <w:spacing w:after="120"/>
              <w:jc w:val="both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>
              <w:rPr>
                <w:sz w:val="14"/>
                <w:szCs w:val="14"/>
              </w:rPr>
              <w:t>33,21%</w:t>
            </w:r>
          </w:p>
        </w:tc>
      </w:tr>
    </w:tbl>
    <w:p w:rsidR="0064374E" w:rsidRDefault="0064374E" w:rsidP="0064374E">
      <w:pPr>
        <w:spacing w:line="360" w:lineRule="auto"/>
        <w:ind w:right="283" w:firstLine="3118"/>
        <w:jc w:val="both"/>
        <w:rPr>
          <w:rFonts w:ascii="Times New Roman" w:eastAsia="MS Mincho" w:hAnsi="Times New Roman"/>
          <w:szCs w:val="24"/>
          <w:lang w:eastAsia="ja-JP"/>
        </w:rPr>
      </w:pPr>
    </w:p>
    <w:p w:rsidR="0064374E" w:rsidRDefault="0064374E" w:rsidP="0064374E">
      <w:pPr>
        <w:tabs>
          <w:tab w:val="left" w:pos="567"/>
        </w:tabs>
        <w:ind w:right="283" w:firstLine="3118"/>
        <w:jc w:val="both"/>
        <w:rPr>
          <w:sz w:val="20"/>
          <w:szCs w:val="20"/>
        </w:rPr>
      </w:pPr>
      <w:r>
        <w:rPr>
          <w:b/>
          <w:sz w:val="20"/>
          <w:szCs w:val="20"/>
        </w:rPr>
        <w:t>§ 2º.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 alíquota de contribuição suplementar será alterada no início de cada exercício financeiro.</w:t>
      </w:r>
    </w:p>
    <w:p w:rsidR="0064374E" w:rsidRDefault="0064374E" w:rsidP="0064374E">
      <w:pPr>
        <w:tabs>
          <w:tab w:val="left" w:pos="567"/>
        </w:tabs>
        <w:ind w:firstLine="3118"/>
        <w:jc w:val="both"/>
        <w:rPr>
          <w:sz w:val="20"/>
          <w:szCs w:val="20"/>
        </w:rPr>
      </w:pPr>
      <w:r>
        <w:rPr>
          <w:b/>
          <w:sz w:val="20"/>
          <w:szCs w:val="20"/>
        </w:rPr>
        <w:t>§ 3º.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O pagamento da contribuição suplementar, descrita no parágrafo anterior, se dará nas mesmas formas, datas e moldes da contribuição mensal do Município, através dos órgãos dos Poderes Legislativo e Executivo, inclusive de suas autarquias e fundações.</w:t>
      </w:r>
    </w:p>
    <w:p w:rsidR="0064374E" w:rsidRDefault="0064374E" w:rsidP="0064374E">
      <w:pPr>
        <w:ind w:firstLine="3118"/>
        <w:jc w:val="both"/>
        <w:rPr>
          <w:sz w:val="20"/>
          <w:szCs w:val="20"/>
        </w:rPr>
      </w:pPr>
      <w:r w:rsidRPr="00BE0EB3">
        <w:rPr>
          <w:b/>
          <w:sz w:val="20"/>
          <w:szCs w:val="20"/>
        </w:rPr>
        <w:t>Art. 4º</w:t>
      </w:r>
      <w:r>
        <w:rPr>
          <w:sz w:val="20"/>
          <w:szCs w:val="20"/>
        </w:rPr>
        <w:t>. Esta Lei entra em vigor a partir de sua publicação.</w:t>
      </w:r>
    </w:p>
    <w:p w:rsidR="00A438B1" w:rsidRPr="00A438B1" w:rsidRDefault="00A438B1" w:rsidP="0064374E">
      <w:pPr>
        <w:ind w:firstLine="3118"/>
        <w:jc w:val="both"/>
        <w:rPr>
          <w:sz w:val="4"/>
          <w:szCs w:val="20"/>
        </w:rPr>
      </w:pPr>
    </w:p>
    <w:p w:rsidR="00A438B1" w:rsidRPr="00A438B1" w:rsidRDefault="00A438B1" w:rsidP="00A438B1">
      <w:pPr>
        <w:jc w:val="center"/>
        <w:rPr>
          <w:b/>
          <w:sz w:val="20"/>
          <w:szCs w:val="20"/>
        </w:rPr>
      </w:pPr>
      <w:r w:rsidRPr="00A438B1">
        <w:rPr>
          <w:b/>
          <w:sz w:val="20"/>
          <w:szCs w:val="20"/>
        </w:rPr>
        <w:t>PREFEITURA MUNICIPAL DE POUSO ALEGRE, 25 DE OUTUBRO DE 2016.</w:t>
      </w:r>
    </w:p>
    <w:p w:rsidR="0064374E" w:rsidRPr="00672DC8" w:rsidRDefault="0064374E" w:rsidP="0064374E">
      <w:pPr>
        <w:spacing w:after="0"/>
        <w:ind w:firstLine="3118"/>
        <w:jc w:val="both"/>
        <w:rPr>
          <w:b/>
          <w:sz w:val="2"/>
          <w:szCs w:val="20"/>
        </w:rPr>
      </w:pPr>
    </w:p>
    <w:p w:rsidR="0064374E" w:rsidRPr="000830D5" w:rsidRDefault="000830D5" w:rsidP="000830D5">
      <w:pPr>
        <w:spacing w:after="0"/>
        <w:jc w:val="center"/>
        <w:rPr>
          <w:b/>
          <w:sz w:val="20"/>
          <w:szCs w:val="20"/>
        </w:rPr>
      </w:pPr>
      <w:r w:rsidRPr="000830D5">
        <w:rPr>
          <w:b/>
          <w:sz w:val="20"/>
          <w:szCs w:val="20"/>
        </w:rPr>
        <w:t>Agnaldo Perugini</w:t>
      </w:r>
    </w:p>
    <w:p w:rsidR="000830D5" w:rsidRPr="000830D5" w:rsidRDefault="000830D5" w:rsidP="000830D5">
      <w:pPr>
        <w:spacing w:after="0"/>
        <w:jc w:val="center"/>
        <w:rPr>
          <w:b/>
          <w:sz w:val="20"/>
          <w:szCs w:val="20"/>
        </w:rPr>
      </w:pPr>
      <w:r w:rsidRPr="000830D5">
        <w:rPr>
          <w:b/>
          <w:sz w:val="20"/>
          <w:szCs w:val="20"/>
        </w:rPr>
        <w:t>PREFEITO MUNICIPAL</w:t>
      </w:r>
    </w:p>
    <w:p w:rsidR="0064374E" w:rsidRPr="00BE0EB3" w:rsidRDefault="0064374E" w:rsidP="00A438B1">
      <w:pPr>
        <w:spacing w:after="0"/>
        <w:jc w:val="center"/>
        <w:rPr>
          <w:b/>
          <w:sz w:val="20"/>
          <w:szCs w:val="20"/>
        </w:rPr>
      </w:pPr>
    </w:p>
    <w:p w:rsidR="0064374E" w:rsidRPr="00BE0EB3" w:rsidRDefault="0064374E" w:rsidP="00A438B1">
      <w:pPr>
        <w:spacing w:after="0"/>
        <w:jc w:val="center"/>
        <w:rPr>
          <w:b/>
          <w:sz w:val="20"/>
          <w:szCs w:val="20"/>
        </w:rPr>
      </w:pPr>
      <w:r w:rsidRPr="00BE0EB3">
        <w:rPr>
          <w:b/>
          <w:sz w:val="20"/>
          <w:szCs w:val="20"/>
        </w:rPr>
        <w:t>Vagner Márcio de Souza</w:t>
      </w:r>
    </w:p>
    <w:p w:rsidR="0064374E" w:rsidRPr="00BE0EB3" w:rsidRDefault="0064374E" w:rsidP="00A438B1">
      <w:pPr>
        <w:spacing w:after="0"/>
        <w:jc w:val="center"/>
        <w:rPr>
          <w:b/>
          <w:sz w:val="20"/>
          <w:szCs w:val="20"/>
        </w:rPr>
      </w:pPr>
      <w:r w:rsidRPr="00BE0EB3">
        <w:rPr>
          <w:b/>
          <w:sz w:val="20"/>
          <w:szCs w:val="20"/>
        </w:rPr>
        <w:t>CHEFE DE GABINETE</w:t>
      </w:r>
    </w:p>
    <w:p w:rsidR="0064374E" w:rsidRDefault="0064374E" w:rsidP="00A438B1">
      <w:pPr>
        <w:spacing w:after="0"/>
        <w:jc w:val="center"/>
        <w:rPr>
          <w:b/>
          <w:sz w:val="20"/>
          <w:szCs w:val="20"/>
        </w:rPr>
      </w:pPr>
    </w:p>
    <w:p w:rsidR="0064374E" w:rsidRPr="00BE0EB3" w:rsidRDefault="0064374E" w:rsidP="00A438B1">
      <w:pPr>
        <w:spacing w:after="0"/>
        <w:jc w:val="center"/>
        <w:rPr>
          <w:b/>
          <w:sz w:val="20"/>
          <w:szCs w:val="20"/>
        </w:rPr>
      </w:pPr>
      <w:r w:rsidRPr="00BE0EB3">
        <w:rPr>
          <w:b/>
          <w:sz w:val="20"/>
          <w:szCs w:val="20"/>
        </w:rPr>
        <w:t>Eduardo Felipe Machado</w:t>
      </w:r>
    </w:p>
    <w:p w:rsidR="0064374E" w:rsidRDefault="0064374E" w:rsidP="00A438B1">
      <w:pPr>
        <w:spacing w:after="0"/>
        <w:jc w:val="center"/>
      </w:pPr>
      <w:r w:rsidRPr="00BE0EB3">
        <w:rPr>
          <w:b/>
          <w:sz w:val="20"/>
          <w:szCs w:val="20"/>
        </w:rPr>
        <w:t>DIRETOR PRESIDENTE DO IPREM</w:t>
      </w:r>
    </w:p>
    <w:p w:rsidR="000830D5" w:rsidRDefault="000830D5" w:rsidP="0064374E">
      <w:pPr>
        <w:spacing w:line="360" w:lineRule="auto"/>
        <w:ind w:firstLine="3118"/>
        <w:jc w:val="both"/>
        <w:rPr>
          <w:b/>
          <w:smallCaps/>
          <w:u w:val="single"/>
        </w:rPr>
      </w:pPr>
    </w:p>
    <w:p w:rsidR="0064374E" w:rsidRDefault="0064374E" w:rsidP="0064374E">
      <w:pPr>
        <w:spacing w:line="360" w:lineRule="auto"/>
        <w:ind w:firstLine="3118"/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lastRenderedPageBreak/>
        <w:t>J U S T I F I C A T I V A</w:t>
      </w:r>
    </w:p>
    <w:p w:rsidR="0064374E" w:rsidRDefault="0064374E" w:rsidP="0064374E">
      <w:pPr>
        <w:spacing w:line="360" w:lineRule="auto"/>
        <w:ind w:firstLine="3118"/>
        <w:jc w:val="both"/>
        <w:rPr>
          <w:b/>
          <w:smallCaps/>
        </w:rPr>
      </w:pPr>
    </w:p>
    <w:p w:rsidR="0064374E" w:rsidRDefault="0064374E" w:rsidP="0064374E">
      <w:pPr>
        <w:spacing w:line="360" w:lineRule="auto"/>
        <w:ind w:firstLine="3118"/>
        <w:jc w:val="both"/>
        <w:rPr>
          <w:b/>
          <w:smallCaps/>
        </w:rPr>
      </w:pPr>
      <w:r>
        <w:rPr>
          <w:b/>
          <w:smallCaps/>
        </w:rPr>
        <w:t>Excelentíssimo Senhor Presidente,</w:t>
      </w:r>
    </w:p>
    <w:p w:rsidR="0064374E" w:rsidRDefault="0064374E" w:rsidP="0064374E">
      <w:pPr>
        <w:spacing w:line="360" w:lineRule="auto"/>
        <w:ind w:firstLine="3118"/>
        <w:jc w:val="both"/>
        <w:rPr>
          <w:b/>
          <w:smallCaps/>
        </w:rPr>
      </w:pPr>
      <w:r>
        <w:rPr>
          <w:b/>
          <w:smallCaps/>
        </w:rPr>
        <w:t>Excelentíssimos Senhores Vereadores</w:t>
      </w:r>
    </w:p>
    <w:p w:rsidR="0064374E" w:rsidRDefault="0064374E" w:rsidP="0064374E">
      <w:pPr>
        <w:spacing w:line="360" w:lineRule="auto"/>
        <w:ind w:firstLine="3118"/>
        <w:jc w:val="both"/>
      </w:pPr>
      <w:r>
        <w:t>Com os nossos respeitosos cumprimentos, servimo-nos da presente Mensagem com o escopo de fazer adentrar nessa respeitável Câmara Municipal de Pouso Alegre/MG a presente proposição de lei, que tem por objetivo adequar à contribuição previdenciária patronal e do servidor ao equilíbrio atuarial necessário à viabilidade do Instituto de Previdência Municipal de Pouso Alegre - IPREM.</w:t>
      </w:r>
    </w:p>
    <w:p w:rsidR="0064374E" w:rsidRDefault="0064374E" w:rsidP="0064374E">
      <w:pPr>
        <w:spacing w:line="360" w:lineRule="auto"/>
        <w:ind w:firstLine="3118"/>
        <w:jc w:val="both"/>
      </w:pPr>
      <w:r>
        <w:t>O Déficit técnico ou passivo atuarial apontado na avaliação atuarial deste exercício, constitui a diferença entre a reserva matemática (valor estabelecido no cálculo atuarial para manutenção do equilíbrio do RPPS) e o ativo líquido do plano (patrimônio do fundo constituído por recursos financeiros e imóveis), dessa maneira não poderá confundir déficit técnico atuarial com o dívida previdenciária.</w:t>
      </w:r>
    </w:p>
    <w:p w:rsidR="0064374E" w:rsidRDefault="0064374E" w:rsidP="0064374E">
      <w:pPr>
        <w:spacing w:line="360" w:lineRule="auto"/>
        <w:ind w:firstLine="3118"/>
        <w:jc w:val="both"/>
      </w:pPr>
      <w:r>
        <w:t>A sustentabilidade do sistema previdenciário nacional está baseada numa visão de longo prazo, em que se busca equacionar, ao longo dos períodos, as entradas (receitas) e as saídas (despesas), portanto, a necessidade de sustentabilidade pode resumir a tônica das mudanças, fiscais ou não, tanto no sentido de garantir a concretização dos benefícios futuros, quanto no sentido da manutenção da confiabilidade e viabilização da previdência brasileira.</w:t>
      </w:r>
    </w:p>
    <w:p w:rsidR="0064374E" w:rsidRDefault="0064374E" w:rsidP="0064374E">
      <w:pPr>
        <w:spacing w:line="360" w:lineRule="auto"/>
        <w:ind w:firstLine="3118"/>
        <w:jc w:val="both"/>
      </w:pPr>
      <w:r>
        <w:t xml:space="preserve">Além da necessidade de adequar o equilíbrio financeiro e atuarial, a presente proposição tem como objetivo atender a exigência do Ministério da Previdência Social e garantia do pagamento dos benefícios futuros. </w:t>
      </w:r>
    </w:p>
    <w:p w:rsidR="0064374E" w:rsidRDefault="0064374E" w:rsidP="0064374E">
      <w:pPr>
        <w:spacing w:line="360" w:lineRule="auto"/>
        <w:ind w:firstLine="3118"/>
        <w:jc w:val="both"/>
      </w:pPr>
      <w:r>
        <w:t xml:space="preserve">Esta alíquota tem como base o estudo atuarial realizado no plano de benefícios previdenciários do IPREM em dezembro de 2015. </w:t>
      </w:r>
    </w:p>
    <w:p w:rsidR="0064374E" w:rsidRDefault="0064374E" w:rsidP="0064374E">
      <w:pPr>
        <w:spacing w:line="360" w:lineRule="auto"/>
        <w:ind w:firstLine="3118"/>
        <w:jc w:val="both"/>
      </w:pPr>
      <w:r>
        <w:t>O Certificado de Regularidade Previdenciária (CRP) é o documento que atesta a regularidade do Regime de Previdência Social dos servidores titulares de cargos efetivos de um Estado ou Município, sendo exigido nas seguintes situações:</w:t>
      </w:r>
    </w:p>
    <w:p w:rsidR="0064374E" w:rsidRDefault="0064374E" w:rsidP="00A438B1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</w:pPr>
      <w:r>
        <w:lastRenderedPageBreak/>
        <w:t xml:space="preserve">realização de transferências voluntárias de recursos pela União; </w:t>
      </w:r>
    </w:p>
    <w:p w:rsidR="0064374E" w:rsidRDefault="0064374E" w:rsidP="00A438B1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</w:pPr>
      <w:r>
        <w:t xml:space="preserve">celebração de acordos, contratos, convênios ou ajustes; </w:t>
      </w:r>
    </w:p>
    <w:p w:rsidR="0064374E" w:rsidRDefault="0064374E" w:rsidP="00A438B1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</w:pPr>
      <w:r>
        <w:t xml:space="preserve">concessão de empréstimos, financiamentos, avais e subvenções em geral de órgãos ou entidades da União; </w:t>
      </w:r>
    </w:p>
    <w:p w:rsidR="0064374E" w:rsidRDefault="0064374E" w:rsidP="00A438B1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</w:pPr>
      <w:r>
        <w:t xml:space="preserve">celebração de empréstimos e financiamentos por instituições financeiras federais; </w:t>
      </w:r>
    </w:p>
    <w:p w:rsidR="0064374E" w:rsidRDefault="0064374E" w:rsidP="00A438B1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</w:pPr>
      <w:r>
        <w:t>repasse dos valores devidos em razão da compensação previdenciária.</w:t>
      </w:r>
    </w:p>
    <w:p w:rsidR="0064374E" w:rsidRDefault="0064374E" w:rsidP="0064374E">
      <w:pPr>
        <w:spacing w:line="360" w:lineRule="auto"/>
        <w:ind w:firstLine="3118"/>
        <w:jc w:val="both"/>
      </w:pPr>
      <w:r>
        <w:t>Diante do acima exposto, vimos rogar o necessário empenho de V. Exª e dos demais Edis com assento nessa Laboriosa Casa Legislativa na aprovação da presente propositura.</w:t>
      </w:r>
    </w:p>
    <w:p w:rsidR="0064374E" w:rsidRDefault="0064374E" w:rsidP="0064374E">
      <w:pPr>
        <w:spacing w:line="360" w:lineRule="auto"/>
        <w:ind w:firstLine="3118"/>
        <w:jc w:val="both"/>
      </w:pPr>
    </w:p>
    <w:p w:rsidR="000830D5" w:rsidRPr="000830D5" w:rsidRDefault="000830D5" w:rsidP="000830D5">
      <w:pPr>
        <w:spacing w:after="0"/>
        <w:jc w:val="center"/>
        <w:rPr>
          <w:b/>
          <w:sz w:val="20"/>
          <w:szCs w:val="20"/>
        </w:rPr>
      </w:pPr>
      <w:r w:rsidRPr="000830D5">
        <w:rPr>
          <w:b/>
          <w:sz w:val="20"/>
          <w:szCs w:val="20"/>
        </w:rPr>
        <w:t>Agnaldo Perugini</w:t>
      </w:r>
    </w:p>
    <w:p w:rsidR="000830D5" w:rsidRPr="000830D5" w:rsidRDefault="000830D5" w:rsidP="000830D5">
      <w:pPr>
        <w:spacing w:after="0"/>
        <w:jc w:val="center"/>
        <w:rPr>
          <w:b/>
          <w:sz w:val="20"/>
          <w:szCs w:val="20"/>
        </w:rPr>
      </w:pPr>
      <w:r w:rsidRPr="000830D5">
        <w:rPr>
          <w:b/>
          <w:sz w:val="20"/>
          <w:szCs w:val="20"/>
        </w:rPr>
        <w:t>PREFEITO MUNICIPAL</w:t>
      </w:r>
    </w:p>
    <w:p w:rsidR="0064374E" w:rsidRDefault="0064374E" w:rsidP="00672DC8">
      <w:pPr>
        <w:spacing w:line="360" w:lineRule="auto"/>
        <w:jc w:val="center"/>
        <w:rPr>
          <w:b/>
        </w:rPr>
      </w:pPr>
    </w:p>
    <w:p w:rsidR="008A3B1D" w:rsidRPr="0064374E" w:rsidRDefault="008A3B1D" w:rsidP="0064374E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4374E" w:rsidSect="008A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0D" w:rsidRDefault="00171B0D" w:rsidP="00D61824">
      <w:pPr>
        <w:spacing w:after="0" w:line="240" w:lineRule="auto"/>
      </w:pPr>
      <w:r>
        <w:separator/>
      </w:r>
    </w:p>
  </w:endnote>
  <w:endnote w:type="continuationSeparator" w:id="1">
    <w:p w:rsidR="00171B0D" w:rsidRDefault="00171B0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0D" w:rsidRDefault="00171B0D" w:rsidP="00D61824">
      <w:pPr>
        <w:spacing w:after="0" w:line="240" w:lineRule="auto"/>
      </w:pPr>
      <w:r>
        <w:separator/>
      </w:r>
    </w:p>
  </w:footnote>
  <w:footnote w:type="continuationSeparator" w:id="1">
    <w:p w:rsidR="00171B0D" w:rsidRDefault="00171B0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848E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69F1"/>
    <w:multiLevelType w:val="hybridMultilevel"/>
    <w:tmpl w:val="8E283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374E"/>
    <w:rsid w:val="000830D5"/>
    <w:rsid w:val="000E00F7"/>
    <w:rsid w:val="000E175C"/>
    <w:rsid w:val="00142DDF"/>
    <w:rsid w:val="00171B0D"/>
    <w:rsid w:val="002164E3"/>
    <w:rsid w:val="00255FAB"/>
    <w:rsid w:val="002F6540"/>
    <w:rsid w:val="00360700"/>
    <w:rsid w:val="003A2A4A"/>
    <w:rsid w:val="00467EFC"/>
    <w:rsid w:val="0054198C"/>
    <w:rsid w:val="0064374E"/>
    <w:rsid w:val="006570DC"/>
    <w:rsid w:val="00672DC8"/>
    <w:rsid w:val="006D296F"/>
    <w:rsid w:val="008A3B1D"/>
    <w:rsid w:val="008E2780"/>
    <w:rsid w:val="00A22B7B"/>
    <w:rsid w:val="00A438B1"/>
    <w:rsid w:val="00AB2AA3"/>
    <w:rsid w:val="00B1006D"/>
    <w:rsid w:val="00B60CB4"/>
    <w:rsid w:val="00B8194B"/>
    <w:rsid w:val="00B848EC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uiPriority w:val="99"/>
    <w:semiHidden/>
    <w:unhideWhenUsed/>
    <w:rsid w:val="0064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37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QuadroChar">
    <w:name w:val="Quadro Char"/>
    <w:link w:val="Quadro"/>
    <w:locked/>
    <w:rsid w:val="0064374E"/>
    <w:rPr>
      <w:rFonts w:ascii="Arial" w:eastAsia="Times New Roman" w:hAnsi="Arial"/>
      <w:b/>
      <w:color w:val="0000FF"/>
    </w:rPr>
  </w:style>
  <w:style w:type="paragraph" w:customStyle="1" w:styleId="Quadro">
    <w:name w:val="Quadro"/>
    <w:basedOn w:val="Normal"/>
    <w:next w:val="Normal"/>
    <w:link w:val="QuadroChar"/>
    <w:rsid w:val="0064374E"/>
    <w:pPr>
      <w:keepNext/>
      <w:tabs>
        <w:tab w:val="num" w:pos="1440"/>
      </w:tabs>
      <w:spacing w:after="0" w:line="360" w:lineRule="auto"/>
      <w:ind w:left="360" w:hanging="360"/>
      <w:jc w:val="center"/>
      <w:outlineLvl w:val="4"/>
    </w:pPr>
    <w:rPr>
      <w:rFonts w:ascii="Arial" w:eastAsia="Times New Roman" w:hAnsi="Arial"/>
      <w:b/>
      <w:color w:val="0000F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85CC-4B75-49B6-9692-51018DEA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4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cp:lastPrinted>2016-10-25T13:58:00Z</cp:lastPrinted>
  <dcterms:created xsi:type="dcterms:W3CDTF">2016-10-26T17:52:00Z</dcterms:created>
  <dcterms:modified xsi:type="dcterms:W3CDTF">2016-10-26T17:52:00Z</dcterms:modified>
</cp:coreProperties>
</file>