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7207D" w:rsidP="0047207D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001 AO PROJETO DE LEI Nº 663/2014</w:t>
      </w:r>
    </w:p>
    <w:p w:rsidR="00C94212" w:rsidRDefault="00C94212" w:rsidP="0047207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47207D" w:rsidRDefault="0047207D" w:rsidP="0047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</w:p>
    <w:p w:rsidR="00C94212" w:rsidRPr="00865738" w:rsidRDefault="00C94212" w:rsidP="00472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ALTERA O </w:t>
      </w:r>
      <w:r w:rsidR="005E277E">
        <w:rPr>
          <w:b/>
        </w:rPr>
        <w:t>ART. 1º DO PROJETO DE LEI Nº 663</w:t>
      </w:r>
      <w:r w:rsidR="00A100C7">
        <w:rPr>
          <w:b/>
        </w:rPr>
        <w:t xml:space="preserve">/2014, QUE ALTERA OS ARTIGOS 9º E 10 DA LEI Nº 5.503/2014, QUE ESTABELECE AS DIRETRIZES ORÇAMENTÁRIAS A SEREM OBSERVADAS NA ELABORAÇÃO DA LEI ORÇAMENTÁRIA DO MUNICÍPIO PARA O EXERCÍCIO DE 2015 E DÁ OUTRAS PROVIDÊNCIAS. </w:t>
      </w:r>
      <w:r w:rsidR="00DD2BC3">
        <w:rPr>
          <w:b/>
        </w:rPr>
        <w:t xml:space="preserve"> </w:t>
      </w:r>
    </w:p>
    <w:p w:rsidR="00C94212" w:rsidRDefault="00C94212" w:rsidP="0047207D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47207D" w:rsidRDefault="0047207D" w:rsidP="0047207D">
      <w:pPr>
        <w:spacing w:line="276" w:lineRule="auto"/>
        <w:ind w:firstLine="2835"/>
        <w:jc w:val="both"/>
      </w:pPr>
    </w:p>
    <w:p w:rsidR="00A056D0" w:rsidRDefault="0063594B" w:rsidP="0047207D">
      <w:pPr>
        <w:spacing w:line="276" w:lineRule="auto"/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</w:t>
      </w:r>
      <w:r w:rsidR="00DD2BC3">
        <w:t>º 001 ao Projeto de Lei Nº 6</w:t>
      </w:r>
      <w:r w:rsidR="00A100C7">
        <w:t>63</w:t>
      </w:r>
      <w:r>
        <w:t>/2014</w:t>
      </w:r>
      <w:r w:rsidR="00A056D0">
        <w:t>:</w:t>
      </w:r>
    </w:p>
    <w:p w:rsidR="00C94212" w:rsidRDefault="00C94212" w:rsidP="00DD2BC3">
      <w:pPr>
        <w:spacing w:line="276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DD2BC3" w:rsidRDefault="0047207D" w:rsidP="0047207D">
      <w:pPr>
        <w:pStyle w:val="Normal0"/>
        <w:spacing w:line="276" w:lineRule="au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47207D">
        <w:rPr>
          <w:rFonts w:ascii="Times New Roman" w:eastAsia="Times New Roman" w:hAnsi="Times New Roman"/>
          <w:b/>
          <w:color w:val="000000"/>
        </w:rPr>
        <w:t>Art. 1</w:t>
      </w:r>
      <w:r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A100C7">
        <w:rPr>
          <w:rFonts w:ascii="Times New Roman" w:eastAsia="Times New Roman" w:hAnsi="Times New Roman"/>
          <w:color w:val="000000"/>
        </w:rPr>
        <w:t>O artigo 1º do Projeto de Lei nº 663/2014 passa a vigorar com a seguinte redação</w:t>
      </w:r>
      <w:r w:rsidR="00C94212">
        <w:rPr>
          <w:rFonts w:ascii="Times New Roman" w:eastAsia="Times New Roman" w:hAnsi="Times New Roman"/>
          <w:color w:val="000000"/>
        </w:rPr>
        <w:t>:</w:t>
      </w:r>
      <w:r w:rsidR="00DD2BC3">
        <w:rPr>
          <w:rFonts w:ascii="Times New Roman" w:eastAsia="Times New Roman" w:hAnsi="Times New Roman"/>
          <w:color w:val="000000"/>
        </w:rPr>
        <w:t xml:space="preserve"> </w:t>
      </w:r>
    </w:p>
    <w:p w:rsidR="00DD2BC3" w:rsidRDefault="00DD2BC3" w:rsidP="0047207D">
      <w:pPr>
        <w:pStyle w:val="Normal0"/>
        <w:spacing w:line="276" w:lineRule="auto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7207D" w:rsidRPr="00B35700" w:rsidRDefault="0047207D" w:rsidP="0047207D">
      <w:pPr>
        <w:ind w:firstLine="2835"/>
        <w:jc w:val="both"/>
      </w:pPr>
      <w:r>
        <w:t>“Art. 1º</w:t>
      </w:r>
      <w:r w:rsidRPr="00B35700">
        <w:t xml:space="preserve"> Os artigos 9º e 10 da Lei n. 5.503/2014, que estabelece as diretrizes a serem observadas na elaboração da Lei Orçamentária do Município para o exercício de 2015, e dá outras providências, passam a vigorar com as seguintes redações:</w:t>
      </w:r>
    </w:p>
    <w:p w:rsidR="0047207D" w:rsidRDefault="0047207D" w:rsidP="0047207D">
      <w:pPr>
        <w:ind w:firstLine="2835"/>
        <w:jc w:val="both"/>
        <w:rPr>
          <w:i/>
        </w:rPr>
      </w:pPr>
    </w:p>
    <w:p w:rsidR="0047207D" w:rsidRPr="0047207D" w:rsidRDefault="0047207D" w:rsidP="0047207D">
      <w:pPr>
        <w:ind w:firstLine="2835"/>
        <w:jc w:val="both"/>
        <w:rPr>
          <w:i/>
        </w:rPr>
      </w:pPr>
      <w:r w:rsidRPr="0047207D">
        <w:rPr>
          <w:i/>
        </w:rPr>
        <w:t>Art. 9º. As categorias de programação de que trata esta Lei serão identificadas na Lei Orçamentária Anual e respeitarão as condições estabelecidas na Lei do Plano Plurianual 2014-2017 e serão transcritas na Lei Orçamentária Anual de 2015.</w:t>
      </w:r>
    </w:p>
    <w:p w:rsidR="0047207D" w:rsidRPr="0047207D" w:rsidRDefault="0047207D" w:rsidP="0047207D">
      <w:pPr>
        <w:ind w:firstLine="3118"/>
        <w:jc w:val="both"/>
        <w:rPr>
          <w:i/>
        </w:rPr>
      </w:pPr>
    </w:p>
    <w:p w:rsidR="0047207D" w:rsidRPr="0047207D" w:rsidRDefault="0047207D" w:rsidP="0047207D">
      <w:pPr>
        <w:ind w:firstLine="2835"/>
        <w:jc w:val="both"/>
        <w:rPr>
          <w:i/>
        </w:rPr>
      </w:pPr>
      <w:r w:rsidRPr="0047207D">
        <w:rPr>
          <w:i/>
        </w:rPr>
        <w:t>Parágrafo único. O Poder Executivo poderá transferir, transpor e remanejar total ou parcialmente as dotações orçamentárias aprovadas na Lei Orçamentária de 2015, conforme consta na Constituição Federal de 1988, em seu art. 167.</w:t>
      </w:r>
    </w:p>
    <w:p w:rsidR="0047207D" w:rsidRPr="0047207D" w:rsidRDefault="0047207D" w:rsidP="0047207D">
      <w:pPr>
        <w:ind w:firstLine="2835"/>
        <w:jc w:val="both"/>
        <w:rPr>
          <w:i/>
        </w:rPr>
      </w:pPr>
    </w:p>
    <w:p w:rsidR="0047207D" w:rsidRPr="00B35700" w:rsidRDefault="0047207D" w:rsidP="0047207D">
      <w:pPr>
        <w:ind w:firstLine="2835"/>
        <w:jc w:val="both"/>
        <w:rPr>
          <w:b/>
          <w:i/>
        </w:rPr>
      </w:pPr>
      <w:r w:rsidRPr="0047207D">
        <w:rPr>
          <w:i/>
        </w:rPr>
        <w:t>Art. 10. A abertura de crédito suplementares e especiais dependerá de prévia autorização legislativa e da existência de recursos disponíveis para cobrir a despesa, nos termos da Lei n. 4.320/1964 e da Constituição da República.</w:t>
      </w:r>
    </w:p>
    <w:p w:rsidR="0047207D" w:rsidRDefault="0047207D" w:rsidP="0047207D">
      <w:pPr>
        <w:pStyle w:val="Normal0"/>
        <w:spacing w:line="276" w:lineRule="auto"/>
        <w:ind w:firstLine="2835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47207D" w:rsidRDefault="0047207D" w:rsidP="0047207D">
      <w:pPr>
        <w:pStyle w:val="Normal0"/>
        <w:spacing w:line="276" w:lineRule="au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A100C7">
        <w:rPr>
          <w:rFonts w:ascii="Times New Roman" w:eastAsia="Times New Roman" w:hAnsi="Times New Roman" w:cs="Times New Roman"/>
          <w:b/>
          <w:i/>
          <w:color w:val="000000"/>
        </w:rPr>
        <w:t>§</w:t>
      </w:r>
      <w:r>
        <w:rPr>
          <w:rFonts w:ascii="Times New Roman" w:eastAsia="Times New Roman" w:hAnsi="Times New Roman"/>
          <w:b/>
          <w:i/>
          <w:color w:val="000000"/>
        </w:rPr>
        <w:t xml:space="preserve"> 1º </w:t>
      </w:r>
      <w:r w:rsidRPr="00A100C7">
        <w:rPr>
          <w:rFonts w:ascii="Times New Roman" w:eastAsia="Times New Roman" w:hAnsi="Times New Roman"/>
          <w:b/>
          <w:i/>
          <w:color w:val="000000"/>
        </w:rPr>
        <w:t>Os Poderes Executivo e Legislativo estão autorizados a abrir créditos suplementares nos termos da Lei n. 4.320/64, até o valor correspondente a 10% (dez por cento) do montante previsto em Lei.</w:t>
      </w:r>
    </w:p>
    <w:p w:rsidR="0047207D" w:rsidRDefault="0047207D" w:rsidP="0047207D">
      <w:pPr>
        <w:pStyle w:val="Normal0"/>
        <w:spacing w:line="276" w:lineRule="auto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7207D" w:rsidRPr="00B35700" w:rsidRDefault="0047207D" w:rsidP="0047207D">
      <w:pPr>
        <w:ind w:firstLine="2835"/>
        <w:jc w:val="both"/>
        <w:rPr>
          <w:b/>
          <w:i/>
        </w:rPr>
      </w:pPr>
      <w:r>
        <w:rPr>
          <w:b/>
          <w:i/>
          <w:color w:val="000000"/>
        </w:rPr>
        <w:t>§ 2º Os Poderes Executivo e Legislativo estão autorizados a realizar transferências, remanejamento e transposição total ou parcial das dotações orçamentárias aprovadas na Lei Orçamentária de 2015 até o valor correspondente a 10% (dez por cento), conforme consta na Constituição Federal de 1998, em seu artigo 167.</w:t>
      </w:r>
    </w:p>
    <w:p w:rsidR="0047207D" w:rsidRDefault="0047207D" w:rsidP="0047207D">
      <w:pPr>
        <w:pStyle w:val="Normal0"/>
        <w:spacing w:line="276" w:lineRule="auto"/>
        <w:ind w:firstLine="2835"/>
        <w:jc w:val="both"/>
        <w:rPr>
          <w:rFonts w:ascii="Times New Roman" w:hAnsi="Times New Roman"/>
          <w:b/>
          <w:i/>
        </w:rPr>
      </w:pPr>
    </w:p>
    <w:p w:rsidR="0047207D" w:rsidRPr="0047207D" w:rsidRDefault="0047207D" w:rsidP="0047207D">
      <w:pPr>
        <w:pStyle w:val="Normal0"/>
        <w:spacing w:line="276" w:lineRule="au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47207D">
        <w:rPr>
          <w:rFonts w:ascii="Times New Roman" w:hAnsi="Times New Roman"/>
          <w:i/>
        </w:rPr>
        <w:t>§ 3º Acompanharão os projetos de lei relativos a créditos especiais as exposições de motivos, circunstanciadas, que os justifiquem e que indiquem as conseqüências dos cancelamentos de dotações propostos.</w:t>
      </w:r>
      <w:r w:rsidRPr="0047207D">
        <w:rPr>
          <w:rFonts w:ascii="Times New Roman" w:hAnsi="Times New Roman"/>
        </w:rPr>
        <w:t>”</w:t>
      </w:r>
    </w:p>
    <w:p w:rsidR="0047207D" w:rsidRDefault="0047207D" w:rsidP="00C66654">
      <w:pPr>
        <w:pStyle w:val="Normal0"/>
        <w:spacing w:line="276" w:lineRule="auto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D2BC3" w:rsidRDefault="00A100C7" w:rsidP="00C66654">
      <w:pPr>
        <w:pStyle w:val="Normal0"/>
        <w:spacing w:line="276" w:lineRule="au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47207D">
        <w:rPr>
          <w:rFonts w:ascii="Times New Roman" w:eastAsia="Times New Roman" w:hAnsi="Times New Roman"/>
          <w:b/>
          <w:color w:val="000000"/>
        </w:rPr>
        <w:t>Art. 2</w:t>
      </w:r>
      <w:r w:rsidR="0047207D" w:rsidRPr="0047207D">
        <w:rPr>
          <w:rFonts w:ascii="Times New Roman" w:eastAsia="Times New Roman" w:hAnsi="Times New Roman"/>
          <w:b/>
          <w:color w:val="000000"/>
        </w:rPr>
        <w:t>º</w:t>
      </w:r>
      <w:r w:rsidR="0047207D"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Revogadas as disposições em contrário, esta </w:t>
      </w:r>
      <w:r w:rsidR="00C66654">
        <w:rPr>
          <w:rFonts w:ascii="Times New Roman" w:eastAsia="Times New Roman" w:hAnsi="Times New Roman"/>
          <w:color w:val="000000"/>
        </w:rPr>
        <w:t>E</w:t>
      </w:r>
      <w:r w:rsidR="00C94212">
        <w:rPr>
          <w:rFonts w:ascii="Times New Roman" w:eastAsia="Times New Roman" w:hAnsi="Times New Roman"/>
          <w:color w:val="000000"/>
        </w:rPr>
        <w:t>menda entra em vigor na data de sua aprovação.</w:t>
      </w:r>
    </w:p>
    <w:p w:rsidR="00C94212" w:rsidRDefault="00501BBE" w:rsidP="00C66654">
      <w:pPr>
        <w:pStyle w:val="Normal0"/>
        <w:spacing w:line="276" w:lineRule="auto"/>
        <w:ind w:firstLine="2835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Sala das Sessões, em 14</w:t>
      </w:r>
      <w:r w:rsidR="00C94212">
        <w:rPr>
          <w:rFonts w:ascii="Times New Roman" w:eastAsia="Times New Roman" w:hAnsi="Times New Roman"/>
          <w:color w:val="000000"/>
        </w:rPr>
        <w:t xml:space="preserve"> de </w:t>
      </w:r>
      <w:r>
        <w:rPr>
          <w:rFonts w:ascii="Times New Roman" w:eastAsia="Times New Roman" w:hAnsi="Times New Roman"/>
          <w:color w:val="000000"/>
        </w:rPr>
        <w:t>o</w:t>
      </w:r>
      <w:r w:rsidR="00C94212">
        <w:rPr>
          <w:rFonts w:ascii="Times New Roman" w:eastAsia="Times New Roman" w:hAnsi="Times New Roman"/>
          <w:color w:val="000000"/>
        </w:rPr>
        <w:t>utubro de 2014.</w:t>
      </w:r>
    </w:p>
    <w:p w:rsidR="00C94212" w:rsidRDefault="00C94212" w:rsidP="00C66654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47207D" w:rsidRDefault="0047207D" w:rsidP="00C66654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47207D" w:rsidRDefault="0047207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9538" w:type="dxa"/>
        <w:tblInd w:w="-8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38"/>
      </w:tblGrid>
      <w:tr w:rsidR="00C94212" w:rsidTr="00C66654">
        <w:trPr>
          <w:trHeight w:val="2"/>
        </w:trPr>
        <w:tc>
          <w:tcPr>
            <w:tcW w:w="9538" w:type="dxa"/>
            <w:shd w:val="clear" w:color="auto" w:fill="auto"/>
          </w:tcPr>
          <w:p w:rsidR="00C94212" w:rsidRPr="00AD485A" w:rsidRDefault="003D7118" w:rsidP="007E4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501BBE">
              <w:rPr>
                <w:color w:val="000000"/>
              </w:rPr>
              <w:t>Mauricio Tutty</w:t>
            </w:r>
          </w:p>
        </w:tc>
      </w:tr>
      <w:tr w:rsidR="00C94212" w:rsidTr="00C66654">
        <w:trPr>
          <w:trHeight w:val="8"/>
        </w:trPr>
        <w:tc>
          <w:tcPr>
            <w:tcW w:w="9538" w:type="dxa"/>
            <w:shd w:val="clear" w:color="auto" w:fill="auto"/>
          </w:tcPr>
          <w:p w:rsidR="00A100C7" w:rsidRPr="00EB735A" w:rsidRDefault="00802CF5" w:rsidP="00802CF5">
            <w:pPr>
              <w:tabs>
                <w:tab w:val="center" w:pos="5074"/>
                <w:tab w:val="left" w:pos="6390"/>
              </w:tabs>
              <w:rPr>
                <w:color w:val="000000"/>
              </w:rPr>
            </w:pPr>
            <w:r w:rsidRPr="00EB735A">
              <w:rPr>
                <w:color w:val="000000"/>
              </w:rPr>
              <w:tab/>
            </w:r>
            <w:r w:rsidR="00C94212" w:rsidRPr="00EB735A">
              <w:rPr>
                <w:color w:val="000000"/>
              </w:rPr>
              <w:t>VEREADOR</w:t>
            </w:r>
          </w:p>
        </w:tc>
      </w:tr>
      <w:tr w:rsidR="00C94212" w:rsidTr="00C66654">
        <w:trPr>
          <w:trHeight w:val="2"/>
        </w:trPr>
        <w:tc>
          <w:tcPr>
            <w:tcW w:w="9538" w:type="dxa"/>
            <w:shd w:val="clear" w:color="auto" w:fill="auto"/>
          </w:tcPr>
          <w:p w:rsidR="00C94212" w:rsidRPr="00AD485A" w:rsidRDefault="00C94212" w:rsidP="00413775">
            <w:pPr>
              <w:jc w:val="center"/>
              <w:rPr>
                <w:color w:val="000000"/>
              </w:rPr>
            </w:pPr>
          </w:p>
        </w:tc>
      </w:tr>
    </w:tbl>
    <w:p w:rsidR="0047207D" w:rsidRDefault="0047207D" w:rsidP="00A100C7">
      <w:pPr>
        <w:ind w:firstLine="2835"/>
        <w:rPr>
          <w:b/>
        </w:rPr>
      </w:pPr>
    </w:p>
    <w:p w:rsidR="00C94212" w:rsidRDefault="0047207D" w:rsidP="00A100C7">
      <w:pPr>
        <w:ind w:firstLine="2835"/>
        <w:rPr>
          <w:b/>
        </w:rPr>
      </w:pPr>
      <w:r>
        <w:rPr>
          <w:b/>
        </w:rPr>
        <w:br w:type="page"/>
      </w:r>
      <w:r w:rsidR="00C94212"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B363A" w:rsidRDefault="001B363A" w:rsidP="00C66654">
      <w:pPr>
        <w:pStyle w:val="Normal0"/>
        <w:spacing w:line="276" w:lineRule="au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emenda tem por objetivo </w:t>
      </w:r>
      <w:r w:rsidR="00D57626">
        <w:rPr>
          <w:rFonts w:ascii="Times New Roman" w:hAnsi="Times New Roman" w:cs="Times New Roman"/>
        </w:rPr>
        <w:t xml:space="preserve">reduzir, de 25% para 10%, o percentual de abertura de crédito suplementar, transferência, remanejamento e transposição total ou parcial das dotações orçamentárias previstas para a Lei Orçamentária que vai vigorar no exercício de 2015. </w:t>
      </w:r>
    </w:p>
    <w:p w:rsidR="00DB56C9" w:rsidRDefault="00A47F78" w:rsidP="00C66654">
      <w:pPr>
        <w:pStyle w:val="Normal0"/>
        <w:spacing w:line="276" w:lineRule="au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94212" w:rsidRDefault="00DB56C9" w:rsidP="00C66654">
      <w:pPr>
        <w:pStyle w:val="Normal0"/>
        <w:spacing w:line="276" w:lineRule="auto"/>
        <w:ind w:firstLine="2835"/>
        <w:jc w:val="both"/>
        <w:rPr>
          <w:rFonts w:ascii="Times New Roman" w:hAnsi="Times New Roman" w:cs="Times New Roman"/>
        </w:rPr>
      </w:pPr>
      <w:r w:rsidRPr="00DB56C9">
        <w:rPr>
          <w:rFonts w:ascii="Times New Roman" w:hAnsi="Times New Roman" w:cs="Times New Roman"/>
        </w:rPr>
        <w:t xml:space="preserve">De seu lado, o crédito adicional suplementar não serve para viabilizar novos rumos de governo; apenas remedia erros, omissões e esquecimentos no momento em que se elabora o orçamento anual, podendo amparar-se em quatro fontes de financiamento: a) o superávit financeiro do ano anterior; b) o presente excesso de arrecadação; c) a operação de crédito; d) o esvaziamento, total ou parcial, de outra dotação. É bem isso o que enuncia o art. 43, da Lei nº 4.320, de 1964. </w:t>
      </w:r>
      <w:r w:rsidRPr="00DB56C9">
        <w:rPr>
          <w:rFonts w:ascii="Times New Roman" w:hAnsi="Times New Roman" w:cs="Times New Roman"/>
        </w:rPr>
        <w:cr/>
      </w:r>
    </w:p>
    <w:p w:rsidR="008862B9" w:rsidRDefault="008862B9" w:rsidP="00C66654">
      <w:pPr>
        <w:spacing w:line="276" w:lineRule="auto"/>
        <w:ind w:firstLine="2835"/>
        <w:jc w:val="both"/>
      </w:pPr>
      <w:r w:rsidRPr="008862B9">
        <w:t xml:space="preserve">Todavia, abrir crédito adicional toda vez que permutados elementos de despesa, por certo, bem dificulta a realização do orçamento. Nesse cenário, os Municípios poderiam se balizar no orçamento, solicitando, à Câmara dos Vereadores, dois tipos de crédito suplementar: um de financiamento mais geral; outro somente bancado pela anulação, parcial ou total, de outra dotação. </w:t>
      </w:r>
      <w:r w:rsidRPr="008862B9">
        <w:cr/>
      </w:r>
    </w:p>
    <w:p w:rsidR="008862B9" w:rsidRPr="008862B9" w:rsidRDefault="008862B9" w:rsidP="00C66654">
      <w:pPr>
        <w:spacing w:line="276" w:lineRule="auto"/>
        <w:ind w:firstLine="2835"/>
        <w:jc w:val="both"/>
      </w:pPr>
      <w:r>
        <w:t xml:space="preserve">Diante do nível atual da inflação, da taxa de crescimento do Produto Interno Bruto (PIB), e da margem concedida, todo ano, </w:t>
      </w:r>
      <w:r w:rsidRPr="00900B19">
        <w:rPr>
          <w:u w:val="single"/>
        </w:rPr>
        <w:t>acredita-se que 10% (dez por cento) seja número razoável para créditos adicionais suplementares, não devendo ser maior, sob pena de desfigurar o orçamento original e abrir portas para o déficit de execução orçamentária</w:t>
      </w:r>
      <w:r>
        <w:t xml:space="preserve">. E tal qual para os créditos adicionais, 10% (dez por cento), sob a atual conjuntura econômica, é número razoável para restringir, na LDO, as transposições, remanejamentos e transferências. </w:t>
      </w:r>
    </w:p>
    <w:p w:rsidR="008862B9" w:rsidRPr="008862B9" w:rsidRDefault="008862B9" w:rsidP="008862B9">
      <w:pPr>
        <w:spacing w:line="276" w:lineRule="auto"/>
        <w:ind w:firstLine="2835"/>
        <w:jc w:val="both"/>
      </w:pPr>
    </w:p>
    <w:p w:rsidR="0066319D" w:rsidRDefault="0066319D" w:rsidP="00022728">
      <w:pPr>
        <w:jc w:val="center"/>
        <w:rPr>
          <w:color w:val="000000"/>
        </w:rPr>
      </w:pPr>
    </w:p>
    <w:p w:rsidR="00C94212" w:rsidRDefault="00C94212" w:rsidP="00022728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501BBE">
        <w:rPr>
          <w:color w:val="000000"/>
        </w:rPr>
        <w:t>14 de o</w:t>
      </w:r>
      <w:r>
        <w:rPr>
          <w:color w:val="000000"/>
        </w:rPr>
        <w:t>utubro de 2014.</w:t>
      </w:r>
    </w:p>
    <w:p w:rsidR="00C94212" w:rsidRDefault="00022728" w:rsidP="00022728">
      <w:pPr>
        <w:tabs>
          <w:tab w:val="left" w:pos="6765"/>
        </w:tabs>
        <w:spacing w:line="142" w:lineRule="auto"/>
        <w:ind w:left="283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7207D" w:rsidRDefault="0047207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6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16"/>
      </w:tblGrid>
      <w:tr w:rsidR="00C94212" w:rsidTr="00022728">
        <w:trPr>
          <w:trHeight w:val="283"/>
        </w:trPr>
        <w:tc>
          <w:tcPr>
            <w:tcW w:w="8616" w:type="dxa"/>
            <w:shd w:val="clear" w:color="auto" w:fill="auto"/>
          </w:tcPr>
          <w:p w:rsidR="00C94212" w:rsidRPr="00AD485A" w:rsidRDefault="00C94212" w:rsidP="00E53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3E03">
              <w:rPr>
                <w:color w:val="000000"/>
              </w:rPr>
              <w:t>Mauricio Tutty</w:t>
            </w:r>
          </w:p>
        </w:tc>
      </w:tr>
      <w:tr w:rsidR="00C94212" w:rsidTr="00022728">
        <w:trPr>
          <w:trHeight w:val="863"/>
        </w:trPr>
        <w:tc>
          <w:tcPr>
            <w:tcW w:w="8616" w:type="dxa"/>
            <w:shd w:val="clear" w:color="auto" w:fill="auto"/>
          </w:tcPr>
          <w:p w:rsidR="00C94212" w:rsidRPr="00AD485A" w:rsidRDefault="00C94212" w:rsidP="00413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413775">
            <w:pPr>
              <w:rPr>
                <w:color w:val="000000"/>
              </w:rPr>
            </w:pPr>
          </w:p>
        </w:tc>
      </w:tr>
    </w:tbl>
    <w:p w:rsidR="00217FD1" w:rsidRDefault="00217FD1" w:rsidP="00C166C3"/>
    <w:sectPr w:rsidR="00217FD1" w:rsidSect="00C66654">
      <w:headerReference w:type="default" r:id="rId6"/>
      <w:footerReference w:type="even" r:id="rId7"/>
      <w:footerReference w:type="default" r:id="rId8"/>
      <w:pgSz w:w="11906" w:h="16838"/>
      <w:pgMar w:top="2722" w:right="1701" w:bottom="1247" w:left="1701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F8D" w:rsidRDefault="002A0F8D" w:rsidP="00FE475D">
      <w:r>
        <w:separator/>
      </w:r>
    </w:p>
  </w:endnote>
  <w:endnote w:type="continuationSeparator" w:id="1">
    <w:p w:rsidR="002A0F8D" w:rsidRDefault="002A0F8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775" w:rsidRDefault="001907F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3775" w:rsidRDefault="004137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775" w:rsidRDefault="004137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13775" w:rsidRDefault="0041377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F8D" w:rsidRDefault="002A0F8D" w:rsidP="00FE475D">
      <w:r>
        <w:separator/>
      </w:r>
    </w:p>
  </w:footnote>
  <w:footnote w:type="continuationSeparator" w:id="1">
    <w:p w:rsidR="002A0F8D" w:rsidRDefault="002A0F8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775" w:rsidRDefault="001907FE" w:rsidP="00413775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907F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413775" w:rsidRDefault="00413775" w:rsidP="00413775">
                <w:pPr>
                  <w:pStyle w:val="Ttulo2"/>
                </w:pPr>
              </w:p>
            </w:txbxContent>
          </v:textbox>
        </v:shape>
      </w:pict>
    </w:r>
  </w:p>
  <w:p w:rsidR="00413775" w:rsidRDefault="00413775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728"/>
    <w:rsid w:val="00022C96"/>
    <w:rsid w:val="000874C3"/>
    <w:rsid w:val="001907FE"/>
    <w:rsid w:val="001B363A"/>
    <w:rsid w:val="001E59BF"/>
    <w:rsid w:val="00217FD1"/>
    <w:rsid w:val="002A0F8D"/>
    <w:rsid w:val="003B05F6"/>
    <w:rsid w:val="003D7118"/>
    <w:rsid w:val="00413775"/>
    <w:rsid w:val="0041447C"/>
    <w:rsid w:val="00430CB5"/>
    <w:rsid w:val="00441846"/>
    <w:rsid w:val="0047207D"/>
    <w:rsid w:val="004E73A6"/>
    <w:rsid w:val="005005AC"/>
    <w:rsid w:val="00501BBE"/>
    <w:rsid w:val="00515D35"/>
    <w:rsid w:val="0053200E"/>
    <w:rsid w:val="005E277E"/>
    <w:rsid w:val="0063594B"/>
    <w:rsid w:val="0066319D"/>
    <w:rsid w:val="006C3FC6"/>
    <w:rsid w:val="007076AC"/>
    <w:rsid w:val="00794679"/>
    <w:rsid w:val="007E42E4"/>
    <w:rsid w:val="00802CF5"/>
    <w:rsid w:val="008862B9"/>
    <w:rsid w:val="00896DDF"/>
    <w:rsid w:val="008A078F"/>
    <w:rsid w:val="00900B19"/>
    <w:rsid w:val="00946F94"/>
    <w:rsid w:val="00964DA7"/>
    <w:rsid w:val="009A1034"/>
    <w:rsid w:val="00A056D0"/>
    <w:rsid w:val="00A100C7"/>
    <w:rsid w:val="00A16700"/>
    <w:rsid w:val="00A47F78"/>
    <w:rsid w:val="00BB59D8"/>
    <w:rsid w:val="00BF185C"/>
    <w:rsid w:val="00C166C3"/>
    <w:rsid w:val="00C43689"/>
    <w:rsid w:val="00C66654"/>
    <w:rsid w:val="00C94212"/>
    <w:rsid w:val="00D31AFB"/>
    <w:rsid w:val="00D57626"/>
    <w:rsid w:val="00DB56C9"/>
    <w:rsid w:val="00DD2BC3"/>
    <w:rsid w:val="00DE5182"/>
    <w:rsid w:val="00E47AB9"/>
    <w:rsid w:val="00E53E03"/>
    <w:rsid w:val="00EB2A09"/>
    <w:rsid w:val="00EB735A"/>
    <w:rsid w:val="00F66702"/>
    <w:rsid w:val="00F76D0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cp:lastPrinted>2014-10-13T16:52:00Z</cp:lastPrinted>
  <dcterms:created xsi:type="dcterms:W3CDTF">2014-10-13T16:51:00Z</dcterms:created>
  <dcterms:modified xsi:type="dcterms:W3CDTF">2014-10-13T17:05:00Z</dcterms:modified>
</cp:coreProperties>
</file>