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97 / 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</w:t>
      </w:r>
      <w:r w:rsidRPr="009E6241">
        <w:rPr>
          <w:rFonts w:ascii="Times New Roman" w:eastAsia="Times New Roman" w:hAnsi="Times New Roman" w:cs="Times New Roman"/>
          <w:color w:val="000000"/>
          <w:szCs w:val="24"/>
        </w:rPr>
        <w:t xml:space="preserve">MOÇÃO DE PESAR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aos familiares da Sra. Dionea </w:t>
      </w:r>
      <w:r w:rsidR="00E83965">
        <w:rPr>
          <w:rFonts w:ascii="Times New Roman" w:eastAsia="Times New Roman" w:hAnsi="Times New Roman" w:cs="Times New Roman"/>
          <w:color w:val="000000"/>
          <w:szCs w:val="24"/>
        </w:rPr>
        <w:t>Pompeu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de Assis, pelo seu falecimento.,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9E6241" w:rsidRDefault="00D305BC" w:rsidP="00D305BC">
      <w:pPr>
        <w:ind w:firstLine="2835"/>
        <w:jc w:val="both"/>
      </w:pPr>
      <w:r>
        <w:t xml:space="preserve">Esta Casa de Leis manifesta profundo pesar pelo falecimento da Sra. Esta Casa de Leis manifesta profundo pesar pelo falecimento da Sra. Dionea </w:t>
      </w:r>
      <w:r w:rsidR="00E83965">
        <w:t>Pompeu</w:t>
      </w:r>
      <w:r>
        <w:t xml:space="preserve"> de Assis.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11 de Outubro de 2016.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9E62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55" w:rsidRDefault="003F3855" w:rsidP="00752CC3">
      <w:r>
        <w:separator/>
      </w:r>
    </w:p>
  </w:endnote>
  <w:endnote w:type="continuationSeparator" w:id="1">
    <w:p w:rsidR="003F3855" w:rsidRDefault="003F3855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A67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F38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F38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F385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F38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55" w:rsidRDefault="003F3855" w:rsidP="00752CC3">
      <w:r>
        <w:separator/>
      </w:r>
    </w:p>
  </w:footnote>
  <w:footnote w:type="continuationSeparator" w:id="1">
    <w:p w:rsidR="003F3855" w:rsidRDefault="003F3855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F38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A67A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67A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F385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F385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F38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7A4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3855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E6241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3965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dcterms:created xsi:type="dcterms:W3CDTF">2016-10-11T16:55:00Z</dcterms:created>
  <dcterms:modified xsi:type="dcterms:W3CDTF">2016-10-11T16:57:00Z</dcterms:modified>
</cp:coreProperties>
</file>