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341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r>
        <w:rPr>
          <w:color w:val="000000"/>
        </w:rPr>
        <w:t>à diretora, aos professores, às monitoras, aos funcionários e à comunidade do Bairro São Cristóvão.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O Poder Legislativo, através desta Moção de Aplauso, parabeniza esses excelentes profissionais e a toda a comunidade do Bairro São Cristóvão, pela brilhante solenidade de inauguração da </w:t>
      </w:r>
      <w:proofErr w:type="spellStart"/>
      <w:r>
        <w:rPr>
          <w:rFonts w:ascii="Times New Roman" w:eastAsia="Times New Roman" w:hAnsi="Times New Roman"/>
          <w:color w:val="000000"/>
        </w:rPr>
        <w:t>Próinfância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Lázara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Casarini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Diani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4 de </w:t>
      </w:r>
      <w:r w:rsidR="00CE7D7A">
        <w:rPr>
          <w:color w:val="000000"/>
        </w:rPr>
        <w:t>Novembro</w:t>
      </w:r>
      <w:r>
        <w:rPr>
          <w:color w:val="000000"/>
        </w:rPr>
        <w:t xml:space="preserve">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79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D7A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2014-10-30T19:25:00Z</dcterms:created>
  <dcterms:modified xsi:type="dcterms:W3CDTF">2014-10-30T19:25:00Z</dcterms:modified>
</cp:coreProperties>
</file>