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179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professora Ana Célia Garcia Muniz, pela exposição da oficina visual Jandinha da Escola Municipal Doutor Ângelo Cônsoli.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esta nobre professora pela belíssima oficina visual, apresentada no projeto "Estação Cultural pelos Caminhos de Minas - Milton Nascimento", realizado do dia 09 a 12 de junho do corrente ano, onde os alunos pintaram em telas que ficaram em exposição na galeria Artigas até dia 17. Esta oficina acendeu a expectativa de que é possível trazer a magia através da arte. Nossas crianças apresentaram e encantaram, e isso só foi possível porque tiveram grandes mestres capazes de fazer a diferença.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23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