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Ilustre Senador Anastasia, por mais uma vez demonstrar a seriedade com que conduz e honra seus compromissos ao assegurar a candidatura do Ilmo. Sr. Dr. Rafael Simões a Prefeito da cidade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decisão que ensejou a presente moção estriba-se no fato de que o apoio do homenageado à candidatura em testilha foi referendado no pleito de 2016 por praticamente 70% (setenta por cento) dos eleitores, o que justifica e impõe esta justa homenagem.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