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Moção de Pesar aos familiares do jovem Obadias Rodrigues Faria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Fevereiro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