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333</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competente da Administração Pública Municipal que providencie uma notificação ao proprietário de um lote situado na Rua 11,  na altura do número 240, no bairro Jatobá, pedindo que seja feita a devida limpeza no local.</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O referido lote está sujo, com mato alto, mau cheiro e atraindo animais peçonhentos, o que traz danos e perigo à vizinhança.</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20 de Maio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Adriano da Farmácia</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